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3F1BD">
      <w:pPr>
        <w:widowControl/>
        <w:spacing w:line="576" w:lineRule="exact"/>
        <w:rPr>
          <w:rFonts w:hint="eastAsia" w:ascii="黑体" w:hAnsi="黑体" w:eastAsia="黑体" w:cs="黑体"/>
          <w:bCs/>
          <w:kern w:val="0"/>
          <w:sz w:val="32"/>
          <w:szCs w:val="32"/>
        </w:rPr>
      </w:pPr>
      <w:r>
        <w:rPr>
          <w:rFonts w:hint="eastAsia" w:ascii="黑体" w:hAnsi="黑体" w:eastAsia="黑体" w:cs="黑体"/>
          <w:bCs/>
          <w:kern w:val="0"/>
          <w:sz w:val="32"/>
          <w:szCs w:val="32"/>
        </w:rPr>
        <w:t>附件1</w:t>
      </w:r>
    </w:p>
    <w:p w14:paraId="26CE3068">
      <w:pPr>
        <w:spacing w:line="576" w:lineRule="exact"/>
        <w:jc w:val="center"/>
        <w:rPr>
          <w:rFonts w:hint="eastAsia" w:ascii="方正小标宋简体" w:hAnsi="方正小标宋简体" w:eastAsia="方正小标宋简体" w:cs="方正小标宋简体"/>
          <w:sz w:val="44"/>
          <w:szCs w:val="44"/>
        </w:rPr>
      </w:pPr>
    </w:p>
    <w:p w14:paraId="2F97FA26">
      <w:pPr>
        <w:spacing w:line="576"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川投集团甘肃能源有限责任公司</w:t>
      </w:r>
    </w:p>
    <w:p w14:paraId="40F65052">
      <w:pPr>
        <w:spacing w:line="576"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远程视频会议系统设备采购项目报价单</w:t>
      </w:r>
      <w:bookmarkEnd w:id="0"/>
    </w:p>
    <w:p w14:paraId="7FD31C1B">
      <w:pPr>
        <w:pStyle w:val="2"/>
        <w:spacing w:before="0" w:after="0" w:line="576" w:lineRule="exact"/>
        <w:ind w:firstLine="640" w:firstLineChars="200"/>
        <w:rPr>
          <w:rFonts w:hint="eastAsia" w:ascii="仿宋_GB2312" w:hAnsi="仿宋_GB2312" w:eastAsia="仿宋_GB2312" w:cs="仿宋_GB2312"/>
          <w:b w:val="0"/>
          <w:bCs w:val="0"/>
        </w:rPr>
      </w:pPr>
    </w:p>
    <w:tbl>
      <w:tblPr>
        <w:tblStyle w:val="9"/>
        <w:tblW w:w="973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588"/>
        <w:gridCol w:w="1777"/>
        <w:gridCol w:w="1154"/>
        <w:gridCol w:w="3219"/>
      </w:tblGrid>
      <w:tr w14:paraId="6C8270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53" w:hRule="atLeast"/>
          <w:jc w:val="center"/>
        </w:trPr>
        <w:tc>
          <w:tcPr>
            <w:tcW w:w="3588" w:type="dxa"/>
            <w:noWrap w:val="0"/>
            <w:vAlign w:val="center"/>
          </w:tcPr>
          <w:p w14:paraId="749087A9">
            <w:pPr>
              <w:spacing w:line="480" w:lineRule="auto"/>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项目或内容</w:t>
            </w:r>
          </w:p>
        </w:tc>
        <w:tc>
          <w:tcPr>
            <w:tcW w:w="1777" w:type="dxa"/>
            <w:noWrap w:val="0"/>
            <w:vAlign w:val="center"/>
          </w:tcPr>
          <w:p w14:paraId="342BF551">
            <w:pPr>
              <w:jc w:val="center"/>
              <w:rPr>
                <w:rFonts w:hint="eastAsia" w:ascii="仿宋_GB2312" w:hAnsi="仿宋_GB2312" w:eastAsia="仿宋_GB2312" w:cs="仿宋_GB2312"/>
                <w:bCs/>
                <w:sz w:val="24"/>
              </w:rPr>
            </w:pPr>
          </w:p>
          <w:p w14:paraId="4363B911">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综合含税总价（元）</w:t>
            </w:r>
          </w:p>
          <w:p w14:paraId="45F09864">
            <w:pPr>
              <w:pStyle w:val="3"/>
              <w:ind w:firstLine="0"/>
              <w:jc w:val="center"/>
              <w:rPr>
                <w:rFonts w:hint="eastAsia" w:ascii="仿宋_GB2312" w:hAnsi="仿宋_GB2312" w:eastAsia="仿宋_GB2312" w:cs="仿宋_GB2312"/>
                <w:szCs w:val="24"/>
              </w:rPr>
            </w:pPr>
          </w:p>
        </w:tc>
        <w:tc>
          <w:tcPr>
            <w:tcW w:w="1154" w:type="dxa"/>
            <w:noWrap w:val="0"/>
            <w:vAlign w:val="center"/>
          </w:tcPr>
          <w:p w14:paraId="0E543493">
            <w:pPr>
              <w:pStyle w:val="3"/>
              <w:ind w:firstLine="0"/>
              <w:jc w:val="center"/>
              <w:rPr>
                <w:rFonts w:hint="eastAsia" w:ascii="仿宋_GB2312" w:hAnsi="仿宋_GB2312" w:eastAsia="仿宋_GB2312" w:cs="仿宋_GB2312"/>
                <w:szCs w:val="24"/>
              </w:rPr>
            </w:pPr>
            <w:r>
              <w:rPr>
                <w:rFonts w:hint="eastAsia" w:ascii="仿宋_GB2312" w:hAnsi="仿宋_GB2312" w:eastAsia="仿宋_GB2312" w:cs="仿宋_GB2312"/>
                <w:szCs w:val="24"/>
              </w:rPr>
              <w:t>税率</w:t>
            </w:r>
          </w:p>
        </w:tc>
        <w:tc>
          <w:tcPr>
            <w:tcW w:w="3219" w:type="dxa"/>
            <w:noWrap w:val="0"/>
            <w:vAlign w:val="center"/>
          </w:tcPr>
          <w:p w14:paraId="46B7E3A8">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14:paraId="48D4DB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94" w:hRule="atLeast"/>
          <w:jc w:val="center"/>
        </w:trPr>
        <w:tc>
          <w:tcPr>
            <w:tcW w:w="3588" w:type="dxa"/>
            <w:noWrap w:val="0"/>
            <w:vAlign w:val="center"/>
          </w:tcPr>
          <w:p w14:paraId="7BF0163D">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远程视频会议系统设备采购项目</w:t>
            </w:r>
          </w:p>
        </w:tc>
        <w:tc>
          <w:tcPr>
            <w:tcW w:w="1777" w:type="dxa"/>
            <w:noWrap w:val="0"/>
            <w:vAlign w:val="center"/>
          </w:tcPr>
          <w:p w14:paraId="69A70E21">
            <w:pPr>
              <w:jc w:val="center"/>
              <w:rPr>
                <w:rFonts w:hint="eastAsia" w:ascii="仿宋_GB2312" w:hAnsi="仿宋_GB2312" w:eastAsia="仿宋_GB2312" w:cs="仿宋_GB2312"/>
                <w:bCs/>
                <w:sz w:val="24"/>
              </w:rPr>
            </w:pPr>
          </w:p>
        </w:tc>
        <w:tc>
          <w:tcPr>
            <w:tcW w:w="1154" w:type="dxa"/>
            <w:noWrap w:val="0"/>
            <w:vAlign w:val="center"/>
          </w:tcPr>
          <w:p w14:paraId="533CC9A3">
            <w:pPr>
              <w:jc w:val="center"/>
              <w:rPr>
                <w:rFonts w:hint="eastAsia" w:ascii="仿宋_GB2312" w:hAnsi="仿宋_GB2312" w:eastAsia="仿宋_GB2312" w:cs="仿宋_GB2312"/>
                <w:bCs/>
                <w:sz w:val="24"/>
              </w:rPr>
            </w:pPr>
          </w:p>
        </w:tc>
        <w:tc>
          <w:tcPr>
            <w:tcW w:w="3219" w:type="dxa"/>
            <w:noWrap w:val="0"/>
            <w:vAlign w:val="center"/>
          </w:tcPr>
          <w:p w14:paraId="2A5414A9">
            <w:pPr>
              <w:jc w:val="left"/>
              <w:rPr>
                <w:rFonts w:hint="eastAsia" w:ascii="仿宋_GB2312" w:hAnsi="仿宋_GB2312" w:eastAsia="仿宋_GB2312" w:cs="仿宋_GB2312"/>
                <w:bCs/>
                <w:sz w:val="24"/>
              </w:rPr>
            </w:pPr>
          </w:p>
        </w:tc>
      </w:tr>
      <w:tr w14:paraId="430F38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56" w:hRule="atLeast"/>
          <w:jc w:val="center"/>
        </w:trPr>
        <w:tc>
          <w:tcPr>
            <w:tcW w:w="3588" w:type="dxa"/>
            <w:tcBorders>
              <w:top w:val="single" w:color="auto" w:sz="4" w:space="0"/>
              <w:bottom w:val="single" w:color="auto" w:sz="4" w:space="0"/>
            </w:tcBorders>
            <w:noWrap w:val="0"/>
            <w:vAlign w:val="center"/>
          </w:tcPr>
          <w:p w14:paraId="476F09D4">
            <w:pPr>
              <w:ind w:firstLine="480" w:firstLineChars="200"/>
              <w:jc w:val="center"/>
              <w:rPr>
                <w:rFonts w:hint="eastAsia" w:ascii="仿宋_GB2312" w:hAnsi="仿宋_GB2312" w:eastAsia="仿宋_GB2312" w:cs="仿宋_GB2312"/>
                <w:sz w:val="24"/>
              </w:rPr>
            </w:pPr>
            <w:r>
              <w:rPr>
                <w:rFonts w:hint="eastAsia" w:ascii="仿宋_GB2312" w:hAnsi="仿宋_GB2312" w:eastAsia="仿宋_GB2312" w:cs="仿宋_GB2312"/>
                <w:bCs/>
                <w:sz w:val="24"/>
              </w:rPr>
              <w:t>综合含税总价金额</w:t>
            </w:r>
            <w:r>
              <w:rPr>
                <w:rFonts w:hint="eastAsia" w:ascii="仿宋_GB2312" w:hAnsi="仿宋_GB2312" w:eastAsia="仿宋_GB2312" w:cs="仿宋_GB2312"/>
                <w:sz w:val="24"/>
              </w:rPr>
              <w:t>大写：</w:t>
            </w:r>
          </w:p>
        </w:tc>
        <w:tc>
          <w:tcPr>
            <w:tcW w:w="6150" w:type="dxa"/>
            <w:gridSpan w:val="3"/>
            <w:tcBorders>
              <w:top w:val="single" w:color="auto" w:sz="4" w:space="0"/>
              <w:bottom w:val="single" w:color="auto" w:sz="4" w:space="0"/>
            </w:tcBorders>
            <w:noWrap w:val="0"/>
            <w:vAlign w:val="center"/>
          </w:tcPr>
          <w:p w14:paraId="3D84677F">
            <w:pPr>
              <w:jc w:val="center"/>
              <w:rPr>
                <w:rFonts w:hint="eastAsia" w:ascii="仿宋_GB2312" w:hAnsi="仿宋_GB2312" w:eastAsia="仿宋_GB2312" w:cs="仿宋_GB2312"/>
                <w:sz w:val="24"/>
                <w:u w:val="single"/>
              </w:rPr>
            </w:pPr>
          </w:p>
        </w:tc>
      </w:tr>
    </w:tbl>
    <w:p w14:paraId="0AD57BFE">
      <w:pPr>
        <w:spacing w:line="440" w:lineRule="exact"/>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bCs/>
          <w:sz w:val="24"/>
        </w:rPr>
        <w:t>注</w:t>
      </w:r>
      <w:r>
        <w:rPr>
          <w:rFonts w:hint="eastAsia" w:ascii="仿宋_GB2312" w:hAnsi="仿宋_GB2312" w:eastAsia="仿宋_GB2312" w:cs="仿宋_GB2312"/>
          <w:sz w:val="24"/>
        </w:rPr>
        <w:t>：</w:t>
      </w:r>
    </w:p>
    <w:p w14:paraId="21B7DB6E">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1.报价有效期为报价截止之日起90天（到期日为周末或法定节假日的，顺延至下一个工作日）。</w:t>
      </w:r>
    </w:p>
    <w:p w14:paraId="729BF671">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2.法定代表人亲自报价的，应提供法定代表人身份证明；非报价单位法定代表人亲自报价的，还应提供授权委托书（经法定代表人签字并加盖公司公章，授权范围应至少包括报价、签订合同）。</w:t>
      </w:r>
    </w:p>
    <w:p w14:paraId="6E106B24">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b/>
          <w:bCs/>
          <w:sz w:val="24"/>
        </w:rPr>
        <w:t>本报价单标注的实质性条款为项目合同的主要条款，若中选，报价人不得要求对实质性条款作出实质性修改，否则采购人有权取消其中选资格</w:t>
      </w:r>
      <w:r>
        <w:rPr>
          <w:rFonts w:hint="eastAsia" w:ascii="仿宋_GB2312" w:hAnsi="仿宋_GB2312" w:eastAsia="仿宋_GB2312" w:cs="仿宋_GB2312"/>
          <w:sz w:val="24"/>
        </w:rPr>
        <w:t>。</w:t>
      </w:r>
    </w:p>
    <w:p w14:paraId="210E891A">
      <w:pPr>
        <w:spacing w:line="440" w:lineRule="exact"/>
        <w:ind w:firstLine="480" w:firstLineChars="200"/>
        <w:rPr>
          <w:rFonts w:hint="eastAsia" w:ascii="仿宋_GB2312" w:hAnsi="仿宋_GB2312" w:eastAsia="仿宋_GB2312" w:cs="仿宋_GB2312"/>
          <w:b/>
          <w:bCs/>
          <w:sz w:val="24"/>
        </w:rPr>
      </w:pPr>
      <w:r>
        <w:rPr>
          <w:rFonts w:hint="eastAsia" w:ascii="仿宋_GB2312" w:hAnsi="仿宋_GB2312" w:eastAsia="仿宋_GB2312" w:cs="仿宋_GB2312"/>
          <w:sz w:val="24"/>
        </w:rPr>
        <w:t>4.本项目第一次报价截止后报价人不足三家，采购人选择进行第二次比价的，本报价及报价文件仍有效，采购人有权不退回且将该报价与本项目第二次报价中的其他报价人一起作为本项目比价对象。</w:t>
      </w:r>
    </w:p>
    <w:p w14:paraId="0200458B">
      <w:pPr>
        <w:pStyle w:val="3"/>
        <w:spacing w:line="440" w:lineRule="exact"/>
        <w:ind w:firstLine="482" w:firstLineChars="200"/>
        <w:rPr>
          <w:rFonts w:hint="eastAsia" w:ascii="仿宋_GB2312" w:hAnsi="仿宋_GB2312" w:eastAsia="仿宋_GB2312" w:cs="仿宋_GB2312"/>
          <w:szCs w:val="24"/>
        </w:rPr>
      </w:pPr>
      <w:r>
        <w:rPr>
          <w:rFonts w:hint="eastAsia" w:ascii="仿宋_GB2312" w:hAnsi="仿宋_GB2312" w:eastAsia="仿宋_GB2312" w:cs="仿宋_GB2312"/>
          <w:b/>
          <w:bCs/>
          <w:szCs w:val="24"/>
        </w:rPr>
        <w:t>一、项目说明（实质性条款）</w:t>
      </w:r>
    </w:p>
    <w:p w14:paraId="6A01021E">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1.支付方式：按照支付进度，乙方向甲方提交开具合同相应金额的增值税普通发票后，甲方向乙方转账支付发票对应的含税金额。</w:t>
      </w:r>
    </w:p>
    <w:p w14:paraId="4F87EC54">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2.支付进度： </w:t>
      </w:r>
    </w:p>
    <w:p w14:paraId="4A206C41">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（1）合同正式签订后，乙方合同设备全部到货并经过甲方验收合格，甲方收到乙方开具的发票后5个工作日内支付合同总金额的50%。</w:t>
      </w:r>
    </w:p>
    <w:p w14:paraId="0CF6051F">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（2）合同项目按时全部实施完毕并通过验收试运行合格，甲方收到乙方开具的发票后5个工作日内支付合同总金额的45%。</w:t>
      </w:r>
    </w:p>
    <w:p w14:paraId="158D7738">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（3）质保金为合同总金额的5%，质保期满一年且无质量问题，甲方收到乙方开具的发票后5个工作日内支付。</w:t>
      </w:r>
    </w:p>
    <w:p w14:paraId="6AC7230D">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3.完成本项目全部工作所需的全部费用均包含在“</w:t>
      </w:r>
      <w:r>
        <w:rPr>
          <w:rFonts w:hint="eastAsia" w:ascii="仿宋_GB2312" w:hAnsi="仿宋_GB2312" w:eastAsia="仿宋_GB2312" w:cs="仿宋_GB2312"/>
          <w:bCs/>
          <w:sz w:val="24"/>
        </w:rPr>
        <w:t>综合含税总价</w:t>
      </w:r>
      <w:r>
        <w:rPr>
          <w:rFonts w:hint="eastAsia" w:ascii="仿宋_GB2312" w:hAnsi="仿宋_GB2312" w:eastAsia="仿宋_GB2312" w:cs="仿宋_GB2312"/>
          <w:sz w:val="24"/>
        </w:rPr>
        <w:t>”金额里。</w:t>
      </w:r>
    </w:p>
    <w:p w14:paraId="4DBA7CC1">
      <w:pPr>
        <w:pStyle w:val="5"/>
        <w:spacing w:after="0" w:line="440" w:lineRule="exact"/>
        <w:ind w:firstLine="482" w:firstLineChars="200"/>
        <w:rPr>
          <w:rFonts w:hint="eastAsia" w:ascii="仿宋_GB2312" w:hAnsi="仿宋_GB2312" w:eastAsia="仿宋_GB2312" w:cs="仿宋_GB2312"/>
          <w:b/>
          <w:bCs/>
          <w:sz w:val="24"/>
        </w:rPr>
      </w:pPr>
      <w:r>
        <w:rPr>
          <w:rFonts w:hint="eastAsia" w:ascii="仿宋_GB2312" w:hAnsi="仿宋_GB2312" w:eastAsia="仿宋_GB2312" w:cs="仿宋_GB2312"/>
          <w:b/>
          <w:bCs/>
          <w:sz w:val="24"/>
        </w:rPr>
        <w:t>二、项目要求（实质性条款）</w:t>
      </w:r>
    </w:p>
    <w:p w14:paraId="146677CD">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1.交货时间：合同签订后次日起</w:t>
      </w:r>
      <w:r>
        <w:rPr>
          <w:rFonts w:hint="eastAsia" w:ascii="仿宋_GB2312" w:hAnsi="仿宋_GB2312" w:eastAsia="仿宋_GB2312" w:cs="仿宋_GB2312"/>
          <w:sz w:val="24"/>
          <w:lang w:val="en-US" w:eastAsia="zh-CN"/>
        </w:rPr>
        <w:t>10</w:t>
      </w:r>
      <w:r>
        <w:rPr>
          <w:rFonts w:hint="eastAsia" w:ascii="仿宋_GB2312" w:hAnsi="仿宋_GB2312" w:eastAsia="仿宋_GB2312" w:cs="仿宋_GB2312"/>
          <w:sz w:val="24"/>
        </w:rPr>
        <w:t>个工作日内。</w:t>
      </w:r>
    </w:p>
    <w:p w14:paraId="79BF8529">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2.安装调试期限：设备交付后次日起10个工作日内完成。</w:t>
      </w:r>
    </w:p>
    <w:p w14:paraId="5500B24D">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3.报价人负责设备到货后的开箱检查及安装，所提供的设备、材料须经采购人验收确认后方可进行安装施工。</w:t>
      </w:r>
    </w:p>
    <w:p w14:paraId="601B58F2">
      <w:pPr>
        <w:spacing w:line="44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4.质保服务：宝利通终端及附属设备3年免费维护及技术支持，其余设备1年免费维护及技术支持。</w:t>
      </w:r>
    </w:p>
    <w:p w14:paraId="719129B8">
      <w:pPr>
        <w:spacing w:line="440" w:lineRule="exact"/>
        <w:ind w:firstLine="482" w:firstLineChars="200"/>
        <w:rPr>
          <w:rFonts w:hint="eastAsia" w:ascii="仿宋_GB2312" w:hAnsi="仿宋_GB2312" w:eastAsia="仿宋_GB2312" w:cs="仿宋_GB2312"/>
          <w:b/>
          <w:bCs/>
          <w:sz w:val="24"/>
        </w:rPr>
      </w:pPr>
      <w:r>
        <w:rPr>
          <w:rFonts w:hint="eastAsia" w:ascii="仿宋_GB2312" w:hAnsi="仿宋_GB2312" w:eastAsia="仿宋_GB2312" w:cs="仿宋_GB2312"/>
          <w:b/>
          <w:bCs/>
          <w:sz w:val="24"/>
        </w:rPr>
        <w:t>三、违约责任（实质性条款）</w:t>
      </w:r>
    </w:p>
    <w:p w14:paraId="37BF1979">
      <w:pPr>
        <w:spacing w:line="440" w:lineRule="exact"/>
        <w:ind w:firstLine="481"/>
        <w:rPr>
          <w:rFonts w:hint="eastAsia" w:ascii="仿宋_GB2312" w:hAnsi="仿宋_GB2312" w:eastAsia="仿宋_GB2312" w:cs="仿宋_GB2312"/>
          <w:sz w:val="24"/>
        </w:rPr>
      </w:pPr>
      <w:r>
        <w:rPr>
          <w:rFonts w:hint="eastAsia" w:ascii="仿宋_GB2312" w:hAnsi="仿宋_GB2312" w:eastAsia="仿宋_GB2312" w:cs="仿宋_GB2312"/>
          <w:sz w:val="24"/>
        </w:rPr>
        <w:t>1.乙方未按照合同履行义务的，甲方有权不支付任何价款并有权解除合同，因此给甲方造成损失的，乙方应承担损害赔偿责任。</w:t>
      </w:r>
    </w:p>
    <w:p w14:paraId="701D1C2D">
      <w:pPr>
        <w:spacing w:line="440" w:lineRule="exact"/>
        <w:ind w:firstLine="481"/>
        <w:rPr>
          <w:rFonts w:hint="eastAsia" w:ascii="仿宋_GB2312" w:hAnsi="仿宋_GB2312" w:eastAsia="仿宋_GB2312" w:cs="仿宋_GB2312"/>
          <w:sz w:val="24"/>
        </w:rPr>
      </w:pPr>
      <w:r>
        <w:rPr>
          <w:rFonts w:hint="eastAsia" w:ascii="仿宋_GB2312" w:hAnsi="仿宋_GB2312" w:eastAsia="仿宋_GB2312" w:cs="仿宋_GB2312"/>
          <w:sz w:val="24"/>
        </w:rPr>
        <w:t>2.若本项目发生上述违约情形，甲方有权将乙方列入甲方不合格供应商名单。</w:t>
      </w:r>
    </w:p>
    <w:p w14:paraId="57D4352F">
      <w:pPr>
        <w:spacing w:line="440" w:lineRule="exact"/>
        <w:ind w:firstLine="482" w:firstLineChars="200"/>
        <w:rPr>
          <w:rFonts w:hint="eastAsia" w:ascii="仿宋_GB2312" w:hAnsi="仿宋_GB2312" w:eastAsia="仿宋_GB2312" w:cs="仿宋_GB2312"/>
          <w:b/>
          <w:bCs/>
          <w:sz w:val="24"/>
        </w:rPr>
      </w:pPr>
      <w:r>
        <w:rPr>
          <w:rFonts w:hint="eastAsia" w:ascii="仿宋_GB2312" w:hAnsi="仿宋_GB2312" w:eastAsia="仿宋_GB2312" w:cs="仿宋_GB2312"/>
          <w:b/>
          <w:bCs/>
          <w:sz w:val="24"/>
        </w:rPr>
        <w:t>四、报价纪律</w:t>
      </w:r>
    </w:p>
    <w:p w14:paraId="55585DDA">
      <w:pPr>
        <w:spacing w:line="440" w:lineRule="exact"/>
        <w:ind w:firstLine="481"/>
        <w:rPr>
          <w:rFonts w:hint="eastAsia" w:ascii="仿宋_GB2312" w:hAnsi="仿宋_GB2312" w:eastAsia="仿宋_GB2312" w:cs="仿宋_GB2312"/>
          <w:sz w:val="24"/>
        </w:rPr>
      </w:pPr>
      <w:r>
        <w:rPr>
          <w:rFonts w:hint="eastAsia" w:ascii="仿宋_GB2312" w:hAnsi="仿宋_GB2312" w:eastAsia="仿宋_GB2312" w:cs="仿宋_GB2312"/>
          <w:sz w:val="24"/>
        </w:rPr>
        <w:t>1.报价人不得相互串通报价，不得排挤其他报价人公平竞争，不得与采购人、同类项目单位串通报价，损害国家利益，社会公共利益或者他人利益。</w:t>
      </w:r>
    </w:p>
    <w:p w14:paraId="08043BC1">
      <w:pPr>
        <w:spacing w:line="440" w:lineRule="exact"/>
        <w:ind w:firstLine="481"/>
        <w:rPr>
          <w:rFonts w:hint="eastAsia" w:ascii="仿宋_GB2312" w:hAnsi="仿宋_GB2312" w:eastAsia="仿宋_GB2312" w:cs="仿宋_GB2312"/>
          <w:sz w:val="24"/>
        </w:rPr>
      </w:pPr>
      <w:r>
        <w:rPr>
          <w:rFonts w:hint="eastAsia" w:ascii="仿宋_GB2312" w:hAnsi="仿宋_GB2312" w:eastAsia="仿宋_GB2312" w:cs="仿宋_GB2312"/>
          <w:sz w:val="24"/>
        </w:rPr>
        <w:t xml:space="preserve">2.报价人只能通过比价公告允许的方式向采购人送达报价文件，否则采购人有权不接受该报价。 </w:t>
      </w:r>
    </w:p>
    <w:p w14:paraId="69C4B11F">
      <w:pPr>
        <w:spacing w:line="440" w:lineRule="exact"/>
        <w:ind w:firstLine="480" w:firstLineChars="200"/>
        <w:rPr>
          <w:rFonts w:hint="eastAsia" w:ascii="仿宋_GB2312" w:hAnsi="仿宋_GB2312" w:eastAsia="仿宋_GB2312" w:cs="仿宋_GB2312"/>
          <w:b/>
          <w:bCs/>
          <w:sz w:val="24"/>
        </w:rPr>
      </w:pPr>
      <w:r>
        <w:rPr>
          <w:rFonts w:hint="eastAsia" w:ascii="仿宋_GB2312" w:hAnsi="仿宋_GB2312" w:eastAsia="仿宋_GB2312" w:cs="仿宋_GB2312"/>
          <w:sz w:val="24"/>
        </w:rPr>
        <w:t>3.严禁报价人向采购人及其工作人员、同类项目单位及其工作人员以行贿的手段谋取中选。</w:t>
      </w:r>
    </w:p>
    <w:p w14:paraId="2B02702A">
      <w:pPr>
        <w:spacing w:line="440" w:lineRule="exact"/>
        <w:ind w:firstLine="482" w:firstLineChars="200"/>
        <w:rPr>
          <w:rFonts w:hint="eastAsia" w:ascii="仿宋_GB2312" w:hAnsi="仿宋_GB2312" w:eastAsia="仿宋_GB2312" w:cs="仿宋_GB2312"/>
          <w:b/>
          <w:bCs/>
          <w:sz w:val="24"/>
        </w:rPr>
      </w:pPr>
      <w:r>
        <w:rPr>
          <w:rFonts w:hint="eastAsia" w:ascii="仿宋_GB2312" w:hAnsi="仿宋_GB2312" w:eastAsia="仿宋_GB2312" w:cs="仿宋_GB2312"/>
          <w:b/>
          <w:bCs/>
          <w:sz w:val="24"/>
        </w:rPr>
        <w:t>五、其他说明（乙方填写）：</w:t>
      </w:r>
    </w:p>
    <w:p w14:paraId="27CE1D4F">
      <w:pPr>
        <w:spacing w:line="440" w:lineRule="exact"/>
        <w:rPr>
          <w:rFonts w:hint="eastAsia" w:ascii="仿宋_GB2312" w:hAnsi="仿宋_GB2312" w:eastAsia="仿宋_GB2312" w:cs="仿宋_GB2312"/>
          <w:b/>
          <w:bCs/>
          <w:sz w:val="24"/>
        </w:rPr>
      </w:pPr>
    </w:p>
    <w:p w14:paraId="675900BC">
      <w:pPr>
        <w:spacing w:line="440" w:lineRule="exact"/>
        <w:rPr>
          <w:rFonts w:hint="eastAsia" w:ascii="仿宋_GB2312" w:hAnsi="仿宋_GB2312" w:eastAsia="仿宋_GB2312" w:cs="仿宋_GB2312"/>
          <w:b/>
          <w:bCs/>
          <w:sz w:val="24"/>
        </w:rPr>
      </w:pPr>
    </w:p>
    <w:p w14:paraId="6E221947">
      <w:pPr>
        <w:spacing w:line="440" w:lineRule="exact"/>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乙方：（盖公司专用章） </w:t>
      </w:r>
    </w:p>
    <w:p w14:paraId="0065A2F3">
      <w:pPr>
        <w:spacing w:line="440" w:lineRule="exact"/>
        <w:ind w:firstLine="5040" w:firstLineChars="2100"/>
        <w:jc w:val="center"/>
        <w:rPr>
          <w:rFonts w:hint="eastAsia" w:ascii="仿宋_GB2312" w:hAnsi="仿宋_GB2312" w:eastAsia="仿宋_GB2312" w:cs="仿宋_GB2312"/>
          <w:sz w:val="24"/>
        </w:rPr>
      </w:pPr>
      <w:r>
        <w:rPr>
          <w:rFonts w:hint="eastAsia" w:ascii="仿宋_GB2312" w:hAnsi="仿宋_GB2312" w:eastAsia="仿宋_GB2312" w:cs="仿宋_GB2312"/>
          <w:sz w:val="24"/>
        </w:rPr>
        <w:t xml:space="preserve">       年    月    日   </w:t>
      </w:r>
    </w:p>
    <w:p w14:paraId="5DDF7405">
      <w:pPr>
        <w:pStyle w:val="2"/>
        <w:spacing w:before="0" w:after="0" w:line="576" w:lineRule="exact"/>
        <w:ind w:firstLine="640" w:firstLineChars="200"/>
        <w:rPr>
          <w:rFonts w:hint="eastAsia" w:ascii="仿宋_GB2312" w:hAnsi="仿宋_GB2312" w:eastAsia="仿宋_GB2312" w:cs="仿宋_GB2312"/>
          <w:b w:val="0"/>
          <w:bCs w:val="0"/>
        </w:rPr>
      </w:pPr>
    </w:p>
    <w:p w14:paraId="53C84801"/>
    <w:p w14:paraId="68CFA05F">
      <w:pPr>
        <w:rPr>
          <w:rFonts w:hint="eastAsia" w:ascii="黑体" w:hAnsi="黑体" w:eastAsia="黑体" w:cs="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ZmI2MDljZTIzMTQwNTIxMGQ3YTE3YzU2OTc0NDQifQ=="/>
    <w:docVar w:name="KSO_WPS_MARK_KEY" w:val="82d8a4e9-e5c2-4e41-b13f-f6aa34035c3e"/>
  </w:docVars>
  <w:rsids>
    <w:rsidRoot w:val="002E107E"/>
    <w:rsid w:val="0003296F"/>
    <w:rsid w:val="0004385E"/>
    <w:rsid w:val="00174937"/>
    <w:rsid w:val="002E107E"/>
    <w:rsid w:val="00336EFA"/>
    <w:rsid w:val="003412B8"/>
    <w:rsid w:val="0035179C"/>
    <w:rsid w:val="003748AE"/>
    <w:rsid w:val="003A2ADB"/>
    <w:rsid w:val="003B650C"/>
    <w:rsid w:val="003D390C"/>
    <w:rsid w:val="00436ECD"/>
    <w:rsid w:val="004D3EFD"/>
    <w:rsid w:val="00541C7F"/>
    <w:rsid w:val="006A22CC"/>
    <w:rsid w:val="006C4E30"/>
    <w:rsid w:val="006D5DDA"/>
    <w:rsid w:val="006F6EBB"/>
    <w:rsid w:val="00737F5F"/>
    <w:rsid w:val="00775BFE"/>
    <w:rsid w:val="007B75A3"/>
    <w:rsid w:val="00954FCF"/>
    <w:rsid w:val="00970FCB"/>
    <w:rsid w:val="00A86ADE"/>
    <w:rsid w:val="00AD495F"/>
    <w:rsid w:val="00B0449B"/>
    <w:rsid w:val="00B15CAE"/>
    <w:rsid w:val="00B34432"/>
    <w:rsid w:val="00B80180"/>
    <w:rsid w:val="00C016D1"/>
    <w:rsid w:val="00C05B6B"/>
    <w:rsid w:val="00C90CBC"/>
    <w:rsid w:val="00DA7BC1"/>
    <w:rsid w:val="00DB196A"/>
    <w:rsid w:val="00DF2CFC"/>
    <w:rsid w:val="00E7794F"/>
    <w:rsid w:val="00F333BB"/>
    <w:rsid w:val="00F54ECF"/>
    <w:rsid w:val="0122726E"/>
    <w:rsid w:val="02410942"/>
    <w:rsid w:val="02E537A2"/>
    <w:rsid w:val="034B7942"/>
    <w:rsid w:val="050A5551"/>
    <w:rsid w:val="08941582"/>
    <w:rsid w:val="0C1115BF"/>
    <w:rsid w:val="0DB62132"/>
    <w:rsid w:val="0E9677B8"/>
    <w:rsid w:val="0F6812D4"/>
    <w:rsid w:val="0F7549C2"/>
    <w:rsid w:val="0FD61908"/>
    <w:rsid w:val="116C6E7B"/>
    <w:rsid w:val="1797033E"/>
    <w:rsid w:val="1B485552"/>
    <w:rsid w:val="1D0C2872"/>
    <w:rsid w:val="200D0CA3"/>
    <w:rsid w:val="21823311"/>
    <w:rsid w:val="21AB63EE"/>
    <w:rsid w:val="22CC13CE"/>
    <w:rsid w:val="23C358BC"/>
    <w:rsid w:val="29B81B89"/>
    <w:rsid w:val="301B4C7C"/>
    <w:rsid w:val="34907349"/>
    <w:rsid w:val="3702714D"/>
    <w:rsid w:val="37F863E1"/>
    <w:rsid w:val="3E2241BA"/>
    <w:rsid w:val="3E740F8A"/>
    <w:rsid w:val="3E767F89"/>
    <w:rsid w:val="480D1D44"/>
    <w:rsid w:val="4B430EB5"/>
    <w:rsid w:val="4DE6755C"/>
    <w:rsid w:val="50231F0F"/>
    <w:rsid w:val="56750AE4"/>
    <w:rsid w:val="569C5171"/>
    <w:rsid w:val="579569BD"/>
    <w:rsid w:val="57963921"/>
    <w:rsid w:val="58384EC9"/>
    <w:rsid w:val="58F524CA"/>
    <w:rsid w:val="590D75AF"/>
    <w:rsid w:val="5BB167FD"/>
    <w:rsid w:val="5D2714D4"/>
    <w:rsid w:val="5DF744B9"/>
    <w:rsid w:val="629D5157"/>
    <w:rsid w:val="63643258"/>
    <w:rsid w:val="63916A12"/>
    <w:rsid w:val="64530FA5"/>
    <w:rsid w:val="679A61D4"/>
    <w:rsid w:val="691E680B"/>
    <w:rsid w:val="69AB7F25"/>
    <w:rsid w:val="6A4013CE"/>
    <w:rsid w:val="6B6E3CD1"/>
    <w:rsid w:val="6DCF57CE"/>
    <w:rsid w:val="74362C5A"/>
    <w:rsid w:val="74F235CD"/>
    <w:rsid w:val="77CA57BF"/>
    <w:rsid w:val="7BAC7174"/>
    <w:rsid w:val="7D0C0035"/>
    <w:rsid w:val="7ED130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paragraph" w:styleId="2">
    <w:name w:val="heading 2"/>
    <w:basedOn w:val="1"/>
    <w:next w:val="1"/>
    <w:qFormat/>
    <w:uiPriority w:val="0"/>
    <w:pPr>
      <w:keepNext/>
      <w:keepLines/>
      <w:spacing w:before="260" w:after="260" w:line="410" w:lineRule="auto"/>
      <w:outlineLvl w:val="1"/>
    </w:pPr>
    <w:rPr>
      <w:rFonts w:ascii="Arial" w:hAnsi="Arial" w:eastAsia="黑体" w:cs="Arial"/>
      <w:b/>
      <w:bCs/>
      <w:sz w:val="32"/>
      <w:szCs w:val="32"/>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jc w:val="left"/>
      <w:textAlignment w:val="baseline"/>
    </w:pPr>
    <w:rPr>
      <w:kern w:val="0"/>
      <w:sz w:val="24"/>
      <w:szCs w:val="20"/>
    </w:rPr>
  </w:style>
  <w:style w:type="paragraph" w:styleId="4">
    <w:name w:val="caption"/>
    <w:basedOn w:val="1"/>
    <w:next w:val="1"/>
    <w:qFormat/>
    <w:uiPriority w:val="0"/>
    <w:rPr>
      <w:rFonts w:ascii="Arial" w:hAnsi="Arial" w:eastAsia="黑体"/>
      <w:sz w:val="20"/>
    </w:rPr>
  </w:style>
  <w:style w:type="paragraph" w:styleId="5">
    <w:name w:val="Body Text"/>
    <w:basedOn w:val="1"/>
    <w:next w:val="1"/>
    <w:qFormat/>
    <w:uiPriority w:val="0"/>
    <w:pPr>
      <w:spacing w:after="120"/>
    </w:pPr>
  </w:style>
  <w:style w:type="paragraph" w:styleId="6">
    <w:name w:val="Balloon Text"/>
    <w:basedOn w:val="1"/>
    <w:semiHidden/>
    <w:uiPriority w:val="0"/>
    <w:rPr>
      <w:sz w:val="18"/>
      <w:szCs w:val="1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
    <w:unhideWhenUsed/>
    <w:uiPriority w:val="99"/>
    <w:rPr>
      <w:rFonts w:ascii="Times New Roman" w:hAns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6113</Words>
  <Characters>6900</Characters>
  <Lines>360</Lines>
  <Paragraphs>371</Paragraphs>
  <TotalTime>6</TotalTime>
  <ScaleCrop>false</ScaleCrop>
  <LinksUpToDate>false</LinksUpToDate>
  <CharactersWithSpaces>7142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游奕</cp:lastModifiedBy>
  <dcterms:modified xsi:type="dcterms:W3CDTF">2025-03-03T19:08:20Z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325D307FBE5144A38BBB53E12F0A24BA_13</vt:lpwstr>
  </property>
  <property fmtid="{D5CDD505-2E9C-101B-9397-08002B2CF9AE}" pid="4" name="KSOTemplateDocerSaveRecord">
    <vt:lpwstr>eyJoZGlkIjoiZWU2YWYxNDk5NzAwOWQ5YWIxN2Y1MTU0ODIzM2M0ODMiLCJ1c2VySWQiOiIzODc3OTI4NTYifQ==</vt:lpwstr>
  </property>
</Properties>
</file>