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beforeLines="0" w:afterLines="0" w:line="600" w:lineRule="exact"/>
        <w:jc w:val="center"/>
        <w:rPr>
          <w:rFonts w:hint="eastAsia" w:ascii="仿宋_GB2312" w:eastAsia="仿宋_GB2312"/>
          <w:color w:val="000000"/>
          <w:sz w:val="32"/>
          <w:szCs w:val="24"/>
        </w:rPr>
      </w:pPr>
      <w:r>
        <w:rPr>
          <w:rFonts w:hint="eastAsia" w:ascii="方正小标宋简体" w:hAnsi="方正小标宋简体" w:eastAsia="方正小标宋简体" w:cs="方正小标宋简体"/>
          <w:b/>
          <w:color w:val="000000"/>
          <w:sz w:val="44"/>
          <w:szCs w:val="44"/>
        </w:rPr>
        <w:t>川投（乡城）新能源有限公司、马尔康川投新能源有限公司专项法律服务机构选聘</w:t>
      </w:r>
      <w:r>
        <w:rPr>
          <w:rFonts w:hint="eastAsia" w:ascii="方正小标宋简体" w:hAnsi="方正小标宋简体" w:eastAsia="方正小标宋简体" w:cs="方正小标宋简体"/>
          <w:b/>
          <w:color w:val="000000"/>
          <w:sz w:val="44"/>
          <w:szCs w:val="44"/>
          <w:lang w:val="en-US" w:eastAsia="zh-CN"/>
        </w:rPr>
        <w:t>公开</w:t>
      </w:r>
      <w:r>
        <w:rPr>
          <w:rFonts w:hint="eastAsia" w:ascii="方正小标宋简体" w:hAnsi="方正小标宋简体" w:eastAsia="方正小标宋简体" w:cs="方正小标宋简体"/>
          <w:b/>
          <w:color w:val="000000"/>
          <w:sz w:val="44"/>
          <w:szCs w:val="44"/>
        </w:rPr>
        <w:t>比</w:t>
      </w:r>
      <w:bookmarkStart w:id="75" w:name="_GoBack"/>
      <w:bookmarkEnd w:id="75"/>
      <w:r>
        <w:rPr>
          <w:rFonts w:hint="eastAsia" w:ascii="方正小标宋简体" w:hAnsi="方正小标宋简体" w:eastAsia="方正小标宋简体" w:cs="方正小标宋简体"/>
          <w:b/>
          <w:color w:val="000000"/>
          <w:sz w:val="44"/>
          <w:szCs w:val="44"/>
        </w:rPr>
        <w:t>选公告</w:t>
      </w:r>
    </w:p>
    <w:p>
      <w:pPr>
        <w:widowControl w:val="0"/>
        <w:spacing w:beforeLines="0" w:afterLines="0" w:line="560" w:lineRule="exact"/>
        <w:ind w:left="210" w:leftChars="100" w:firstLine="640" w:firstLineChars="200"/>
        <w:rPr>
          <w:rFonts w:hint="eastAsia" w:ascii="仿宋_GB2312" w:eastAsia="仿宋_GB2312"/>
          <w:color w:val="000000"/>
          <w:sz w:val="32"/>
          <w:szCs w:val="24"/>
        </w:rPr>
      </w:pPr>
    </w:p>
    <w:p>
      <w:pPr>
        <w:widowControl w:val="0"/>
        <w:tabs>
          <w:tab w:val="left" w:pos="3585"/>
        </w:tabs>
        <w:spacing w:beforeLines="0" w:afterLines="0" w:line="520" w:lineRule="exact"/>
        <w:ind w:firstLine="640" w:firstLineChars="200"/>
        <w:rPr>
          <w:rFonts w:hint="eastAsia" w:ascii="黑体" w:eastAsia="黑体"/>
          <w:color w:val="000000"/>
          <w:sz w:val="32"/>
          <w:szCs w:val="24"/>
          <w:lang w:val="en-US" w:eastAsia="zh-CN"/>
        </w:rPr>
      </w:pPr>
      <w:bookmarkStart w:id="0" w:name="_Toc355860709"/>
      <w:bookmarkStart w:id="1" w:name="_Toc355712333"/>
      <w:bookmarkStart w:id="2" w:name="_Toc355712663"/>
      <w:bookmarkStart w:id="3" w:name="_Toc355792436"/>
      <w:bookmarkStart w:id="4" w:name="_Toc355875834"/>
      <w:bookmarkStart w:id="5" w:name="_Toc355712550"/>
      <w:bookmarkStart w:id="6" w:name="_Toc355713694"/>
      <w:r>
        <w:rPr>
          <w:rFonts w:hint="eastAsia" w:ascii="黑体" w:eastAsia="黑体"/>
          <w:color w:val="000000"/>
          <w:sz w:val="32"/>
          <w:szCs w:val="24"/>
        </w:rPr>
        <w:t>一、</w:t>
      </w:r>
      <w:bookmarkEnd w:id="0"/>
      <w:bookmarkEnd w:id="1"/>
      <w:bookmarkEnd w:id="2"/>
      <w:bookmarkEnd w:id="3"/>
      <w:bookmarkEnd w:id="4"/>
      <w:bookmarkEnd w:id="5"/>
      <w:bookmarkEnd w:id="6"/>
      <w:r>
        <w:rPr>
          <w:rFonts w:hint="eastAsia" w:ascii="黑体" w:eastAsia="黑体"/>
          <w:color w:val="000000"/>
          <w:sz w:val="32"/>
          <w:szCs w:val="24"/>
        </w:rPr>
        <w:t>项目概况</w:t>
      </w:r>
    </w:p>
    <w:p>
      <w:pPr>
        <w:widowControl w:val="0"/>
        <w:autoSpaceDE w:val="0"/>
        <w:autoSpaceDN w:val="0"/>
        <w:spacing w:beforeLines="0" w:afterLines="0" w:line="520" w:lineRule="exact"/>
        <w:ind w:firstLine="640" w:firstLineChars="200"/>
        <w:rPr>
          <w:rFonts w:hint="eastAsia" w:cs="Times New Roman"/>
          <w:kern w:val="0"/>
          <w:sz w:val="32"/>
          <w:szCs w:val="32"/>
          <w:lang w:val="en-US" w:eastAsia="zh-CN" w:bidi="ar-SA"/>
        </w:rPr>
      </w:pPr>
      <w:r>
        <w:rPr>
          <w:rFonts w:hint="eastAsia" w:ascii="仿宋_GB2312" w:eastAsia="仿宋_GB2312"/>
          <w:color w:val="000000"/>
          <w:sz w:val="32"/>
          <w:szCs w:val="24"/>
        </w:rPr>
        <w:t>四川川投新能源有限公司（以下简称“川投新能源</w:t>
      </w:r>
      <w:r>
        <w:rPr>
          <w:rFonts w:hint="eastAsia" w:ascii="仿宋_GB2312" w:eastAsia="仿宋_GB2312"/>
          <w:color w:val="000000"/>
          <w:sz w:val="32"/>
          <w:szCs w:val="24"/>
          <w:lang w:val="en-US" w:eastAsia="zh-CN"/>
        </w:rPr>
        <w:t>公司</w:t>
      </w:r>
      <w:r>
        <w:rPr>
          <w:rFonts w:hint="eastAsia" w:ascii="仿宋_GB2312" w:eastAsia="仿宋_GB2312"/>
          <w:color w:val="000000"/>
          <w:sz w:val="32"/>
          <w:szCs w:val="24"/>
        </w:rPr>
        <w:t>”</w:t>
      </w:r>
      <w:r>
        <w:rPr>
          <w:rFonts w:hint="eastAsia" w:ascii="仿宋_GB2312" w:eastAsia="仿宋_GB2312"/>
          <w:color w:val="000000"/>
          <w:sz w:val="32"/>
          <w:szCs w:val="24"/>
          <w:lang w:val="en-US" w:eastAsia="zh-CN"/>
        </w:rPr>
        <w:t>或“比选人”</w:t>
      </w:r>
      <w:r>
        <w:rPr>
          <w:rFonts w:hint="eastAsia" w:ascii="仿宋_GB2312" w:eastAsia="仿宋_GB2312"/>
          <w:color w:val="000000"/>
          <w:sz w:val="32"/>
          <w:szCs w:val="24"/>
        </w:rPr>
        <w:t>）拟对</w:t>
      </w:r>
      <w:r>
        <w:rPr>
          <w:rFonts w:hint="eastAsia" w:ascii="仿宋_GB2312" w:eastAsia="仿宋_GB2312"/>
          <w:color w:val="000000"/>
          <w:sz w:val="32"/>
          <w:szCs w:val="24"/>
          <w:lang w:val="en-US" w:eastAsia="zh-CN"/>
        </w:rPr>
        <w:t>所属川投（乡城）新能源有限公司100万千瓦光伏项目、马尔康川投新能源有限公司40万千瓦光伏项目进行开发建设，现需选聘专项法律服务机构。</w:t>
      </w:r>
    </w:p>
    <w:p>
      <w:pPr>
        <w:widowControl w:val="0"/>
        <w:tabs>
          <w:tab w:val="left" w:pos="3585"/>
        </w:tabs>
        <w:spacing w:beforeLines="0" w:afterLines="0" w:line="520" w:lineRule="exact"/>
        <w:ind w:firstLine="640" w:firstLineChars="200"/>
        <w:rPr>
          <w:rFonts w:hint="eastAsia" w:ascii="仿宋_GB2312" w:eastAsia="仿宋_GB2312" w:cs="Times New Roman"/>
          <w:color w:val="000000"/>
          <w:sz w:val="32"/>
          <w:szCs w:val="32"/>
          <w:lang w:val="en-US" w:eastAsia="zh-CN" w:bidi="ar-SA"/>
        </w:rPr>
      </w:pPr>
      <w:r>
        <w:rPr>
          <w:rFonts w:hint="eastAsia" w:ascii="黑体" w:eastAsia="黑体"/>
          <w:color w:val="000000"/>
          <w:sz w:val="32"/>
          <w:szCs w:val="24"/>
          <w:lang w:val="en-US" w:eastAsia="zh-CN"/>
        </w:rPr>
        <w:t>二、服务期间和</w:t>
      </w:r>
      <w:r>
        <w:rPr>
          <w:rFonts w:hint="eastAsia" w:ascii="黑体" w:eastAsia="黑体"/>
          <w:color w:val="000000"/>
          <w:sz w:val="32"/>
          <w:szCs w:val="24"/>
        </w:rPr>
        <w:t>主要内容</w:t>
      </w:r>
    </w:p>
    <w:p>
      <w:pPr>
        <w:widowControl w:val="0"/>
        <w:snapToGrid w:val="0"/>
        <w:spacing w:beforeLines="0" w:afterLines="0" w:line="520" w:lineRule="exact"/>
        <w:ind w:firstLine="643" w:firstLineChars="200"/>
        <w:rPr>
          <w:rFonts w:hint="eastAsia" w:ascii="仿宋_GB2312" w:eastAsia="仿宋_GB2312" w:cs="Times New Roman"/>
          <w:b/>
          <w:sz w:val="32"/>
          <w:szCs w:val="32"/>
        </w:rPr>
      </w:pPr>
      <w:r>
        <w:rPr>
          <w:rFonts w:hint="eastAsia" w:ascii="仿宋_GB2312" w:eastAsia="仿宋_GB2312" w:cs="Times New Roman"/>
          <w:b/>
          <w:sz w:val="32"/>
          <w:szCs w:val="32"/>
        </w:rPr>
        <w:t>（一）期间</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sz w:val="32"/>
          <w:szCs w:val="24"/>
        </w:rPr>
        <w:t>从</w:t>
      </w:r>
      <w:r>
        <w:rPr>
          <w:rFonts w:hint="eastAsia" w:ascii="仿宋_GB2312" w:eastAsia="仿宋_GB2312"/>
          <w:sz w:val="32"/>
          <w:szCs w:val="24"/>
          <w:lang w:val="en-US" w:eastAsia="zh-CN"/>
        </w:rPr>
        <w:t>通过公开比选方式</w:t>
      </w:r>
      <w:r>
        <w:rPr>
          <w:rFonts w:hint="eastAsia" w:ascii="仿宋_GB2312" w:eastAsia="仿宋_GB2312"/>
          <w:sz w:val="32"/>
          <w:szCs w:val="24"/>
        </w:rPr>
        <w:t>确定法律</w:t>
      </w:r>
      <w:r>
        <w:rPr>
          <w:rFonts w:hint="eastAsia" w:ascii="仿宋_GB2312" w:eastAsia="仿宋_GB2312"/>
          <w:sz w:val="32"/>
          <w:szCs w:val="24"/>
          <w:lang w:val="en-US" w:eastAsia="zh-CN"/>
        </w:rPr>
        <w:t>专项服务</w:t>
      </w:r>
      <w:r>
        <w:rPr>
          <w:rFonts w:hint="eastAsia" w:ascii="仿宋_GB2312" w:eastAsia="仿宋_GB2312"/>
          <w:sz w:val="32"/>
          <w:szCs w:val="24"/>
        </w:rPr>
        <w:t>机构起，至</w:t>
      </w:r>
      <w:r>
        <w:rPr>
          <w:rFonts w:hint="eastAsia" w:ascii="仿宋_GB2312" w:hAnsi="仿宋_GB2312" w:eastAsia="仿宋_GB2312" w:cs="仿宋_GB2312"/>
          <w:sz w:val="32"/>
          <w:szCs w:val="32"/>
        </w:rPr>
        <w:t>川投（</w:t>
      </w:r>
      <w:r>
        <w:rPr>
          <w:rFonts w:hint="eastAsia" w:ascii="仿宋_GB2312" w:hAnsi="仿宋_GB2312" w:eastAsia="仿宋_GB2312" w:cs="仿宋_GB2312"/>
          <w:sz w:val="32"/>
          <w:szCs w:val="32"/>
          <w:lang w:val="en-US" w:eastAsia="zh-CN"/>
        </w:rPr>
        <w:t>乡城</w:t>
      </w:r>
      <w:r>
        <w:rPr>
          <w:rFonts w:hint="eastAsia" w:ascii="仿宋_GB2312" w:hAnsi="仿宋_GB2312" w:eastAsia="仿宋_GB2312" w:cs="仿宋_GB2312"/>
          <w:sz w:val="32"/>
          <w:szCs w:val="32"/>
        </w:rPr>
        <w:t>）新能源有限公司</w:t>
      </w:r>
      <w:r>
        <w:rPr>
          <w:rFonts w:hint="eastAsia" w:ascii="仿宋_GB2312" w:hAnsi="仿宋_GB2312" w:eastAsia="仿宋_GB2312" w:cs="仿宋_GB2312"/>
          <w:sz w:val="32"/>
          <w:szCs w:val="32"/>
          <w:lang w:val="en-US" w:eastAsia="zh-CN"/>
        </w:rPr>
        <w:t>100万千瓦光伏</w:t>
      </w:r>
      <w:r>
        <w:rPr>
          <w:rFonts w:hint="eastAsia" w:ascii="仿宋_GB2312" w:eastAsia="仿宋_GB2312"/>
          <w:sz w:val="32"/>
          <w:szCs w:val="24"/>
          <w:lang w:val="en-US"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马尔康</w:t>
      </w:r>
      <w:r>
        <w:rPr>
          <w:rFonts w:hint="eastAsia" w:ascii="仿宋_GB2312" w:hAnsi="仿宋_GB2312" w:eastAsia="仿宋_GB2312" w:cs="仿宋_GB2312"/>
          <w:sz w:val="32"/>
          <w:szCs w:val="32"/>
        </w:rPr>
        <w:t>川投新能源有限公司</w:t>
      </w:r>
      <w:r>
        <w:rPr>
          <w:rFonts w:hint="eastAsia" w:ascii="仿宋_GB2312" w:hAnsi="仿宋_GB2312" w:eastAsia="仿宋_GB2312" w:cs="仿宋_GB2312"/>
          <w:sz w:val="32"/>
          <w:szCs w:val="32"/>
          <w:lang w:val="en-US" w:eastAsia="zh-CN"/>
        </w:rPr>
        <w:t>40万千瓦光伏</w:t>
      </w:r>
      <w:r>
        <w:rPr>
          <w:rFonts w:hint="eastAsia" w:ascii="仿宋_GB2312" w:eastAsia="仿宋_GB2312"/>
          <w:sz w:val="32"/>
          <w:szCs w:val="24"/>
          <w:lang w:val="en-US" w:eastAsia="zh-CN"/>
        </w:rPr>
        <w:t>项目并网投产</w:t>
      </w:r>
      <w:r>
        <w:rPr>
          <w:rFonts w:hint="eastAsia" w:ascii="仿宋_GB2312" w:eastAsia="仿宋_GB2312"/>
          <w:sz w:val="32"/>
          <w:szCs w:val="24"/>
        </w:rPr>
        <w:t>，</w:t>
      </w:r>
      <w:r>
        <w:rPr>
          <w:rFonts w:hint="eastAsia" w:ascii="仿宋_GB2312" w:eastAsia="仿宋_GB2312"/>
          <w:sz w:val="32"/>
          <w:szCs w:val="24"/>
          <w:lang w:val="en-US" w:eastAsia="zh-CN"/>
        </w:rPr>
        <w:t>并取得全部合规</w:t>
      </w:r>
      <w:r>
        <w:rPr>
          <w:rFonts w:hint="eastAsia" w:ascii="仿宋_GB2312" w:eastAsia="仿宋_GB2312"/>
          <w:sz w:val="32"/>
          <w:szCs w:val="24"/>
        </w:rPr>
        <w:t>手续之日止。</w:t>
      </w:r>
    </w:p>
    <w:p>
      <w:pPr>
        <w:widowControl w:val="0"/>
        <w:snapToGrid w:val="0"/>
        <w:spacing w:beforeLines="0" w:afterLines="0" w:line="520" w:lineRule="exact"/>
        <w:ind w:firstLine="643" w:firstLineChars="200"/>
        <w:rPr>
          <w:rFonts w:hint="eastAsia" w:ascii="仿宋_GB2312" w:eastAsia="仿宋_GB2312" w:cs="Times New Roman"/>
          <w:b/>
          <w:sz w:val="32"/>
          <w:szCs w:val="32"/>
        </w:rPr>
      </w:pPr>
      <w:r>
        <w:rPr>
          <w:rFonts w:hint="eastAsia" w:ascii="仿宋_GB2312" w:eastAsia="仿宋_GB2312" w:cs="Times New Roman"/>
          <w:b/>
          <w:sz w:val="32"/>
          <w:szCs w:val="32"/>
        </w:rPr>
        <w:t>(二)服务内容</w:t>
      </w:r>
    </w:p>
    <w:p>
      <w:pPr>
        <w:widowControl w:val="0"/>
        <w:snapToGrid w:val="0"/>
        <w:spacing w:beforeLines="0" w:afterLines="0" w:line="520" w:lineRule="exact"/>
        <w:ind w:firstLine="643" w:firstLineChars="200"/>
        <w:rPr>
          <w:rFonts w:hint="eastAsia" w:ascii="仿宋_GB2312" w:eastAsia="仿宋_GB2312" w:cs="Times New Roman"/>
          <w:b/>
          <w:sz w:val="32"/>
          <w:szCs w:val="32"/>
        </w:rPr>
      </w:pPr>
      <w:r>
        <w:rPr>
          <w:rFonts w:hint="eastAsia" w:ascii="仿宋_GB2312" w:eastAsia="仿宋_GB2312" w:cs="Times New Roman"/>
          <w:b/>
          <w:sz w:val="32"/>
          <w:szCs w:val="32"/>
        </w:rPr>
        <w:t>1.</w:t>
      </w:r>
      <w:r>
        <w:rPr>
          <w:rFonts w:hint="eastAsia" w:ascii="仿宋_GB2312" w:eastAsia="仿宋_GB2312" w:cs="Times New Roman"/>
          <w:b/>
          <w:sz w:val="32"/>
          <w:szCs w:val="32"/>
          <w:lang w:val="en-US" w:eastAsia="zh-CN"/>
        </w:rPr>
        <w:t>项目前期阶段法律服务，</w:t>
      </w:r>
      <w:r>
        <w:rPr>
          <w:rFonts w:hint="eastAsia" w:ascii="仿宋_GB2312" w:eastAsia="仿宋_GB2312" w:cs="Times New Roman"/>
          <w:b/>
          <w:sz w:val="32"/>
          <w:szCs w:val="32"/>
        </w:rPr>
        <w:t>包括但不限于：</w:t>
      </w:r>
    </w:p>
    <w:p>
      <w:pPr>
        <w:widowControl w:val="0"/>
        <w:snapToGrid w:val="0"/>
        <w:spacing w:beforeLines="0" w:afterLines="0" w:line="520"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lang w:val="en-US" w:eastAsia="zh-CN"/>
        </w:rPr>
        <w:t>- 梳理关于光伏的</w:t>
      </w:r>
      <w:r>
        <w:rPr>
          <w:rFonts w:hint="eastAsia" w:ascii="仿宋_GB2312" w:eastAsia="仿宋_GB2312" w:cs="Times New Roman"/>
          <w:sz w:val="32"/>
          <w:szCs w:val="32"/>
        </w:rPr>
        <w:t>监管法律、行政法规、部门规章、地方性法规、政策性文件</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并提供</w:t>
      </w:r>
      <w:r>
        <w:rPr>
          <w:rFonts w:hint="eastAsia" w:ascii="仿宋_GB2312" w:eastAsia="仿宋_GB2312" w:cs="Times New Roman"/>
          <w:sz w:val="32"/>
          <w:szCs w:val="32"/>
        </w:rPr>
        <w:t>咨询</w:t>
      </w:r>
      <w:r>
        <w:rPr>
          <w:rFonts w:hint="eastAsia" w:ascii="仿宋_GB2312" w:eastAsia="仿宋_GB2312" w:cs="Times New Roman"/>
          <w:sz w:val="32"/>
          <w:szCs w:val="32"/>
          <w:lang w:eastAsia="zh-CN"/>
        </w:rPr>
        <w:t>；</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开展项目调查，进行风险评估，并为公司决策提供法律意见；</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在合作开发中为成立合资公司等相关事宜提供法律咨询和服务，并参与相关会议和谈判；</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起草或审核项目开发前期与地方政府等主体的相关协议或文件并出具书面意见，并参与相关会议和谈判</w:t>
      </w:r>
      <w:r>
        <w:rPr>
          <w:rFonts w:hint="eastAsia" w:ascii="仿宋_GB2312" w:eastAsia="仿宋_GB2312" w:cs="Times New Roman"/>
          <w:sz w:val="32"/>
          <w:szCs w:val="32"/>
        </w:rPr>
        <w:t>；</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为土地租赁、用地预审、矿产压覆、安全预评估、电网接入批复、项目备案等前期合规手续提供法律咨询；</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其他项目前期开发过程中涉及的法律问题的法律咨询并出具书面意见</w:t>
      </w:r>
      <w:r>
        <w:rPr>
          <w:rFonts w:hint="eastAsia" w:ascii="仿宋_GB2312" w:eastAsia="仿宋_GB2312" w:cs="Times New Roman"/>
          <w:sz w:val="32"/>
          <w:szCs w:val="32"/>
          <w:lang w:eastAsia="zh-CN"/>
        </w:rPr>
        <w:t>。</w:t>
      </w:r>
      <w:r>
        <w:rPr>
          <w:rFonts w:hint="eastAsia" w:ascii="仿宋_GB2312" w:eastAsia="仿宋_GB2312" w:cs="Times New Roman"/>
          <w:sz w:val="32"/>
          <w:szCs w:val="32"/>
        </w:rPr>
        <w:t xml:space="preserve"> </w:t>
      </w:r>
    </w:p>
    <w:p>
      <w:pPr>
        <w:widowControl w:val="0"/>
        <w:snapToGrid w:val="0"/>
        <w:spacing w:beforeLines="0" w:afterLines="0" w:line="52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2</w:t>
      </w:r>
      <w:r>
        <w:rPr>
          <w:rFonts w:hint="eastAsia" w:ascii="仿宋_GB2312" w:eastAsia="仿宋_GB2312" w:cs="Times New Roman"/>
          <w:b/>
          <w:sz w:val="32"/>
          <w:szCs w:val="32"/>
          <w:lang w:eastAsia="zh-CN"/>
        </w:rPr>
        <w:t>.</w:t>
      </w:r>
      <w:r>
        <w:rPr>
          <w:rFonts w:hint="eastAsia" w:ascii="仿宋_GB2312" w:eastAsia="仿宋_GB2312" w:cs="Times New Roman"/>
          <w:b/>
          <w:sz w:val="32"/>
          <w:szCs w:val="32"/>
          <w:lang w:val="en-US" w:eastAsia="zh-CN"/>
        </w:rPr>
        <w:t>项目</w:t>
      </w:r>
      <w:r>
        <w:rPr>
          <w:rFonts w:hint="eastAsia" w:ascii="仿宋_GB2312" w:eastAsia="仿宋_GB2312" w:cs="Times New Roman"/>
          <w:b/>
          <w:sz w:val="32"/>
          <w:szCs w:val="32"/>
        </w:rPr>
        <w:t>招投标阶段</w:t>
      </w:r>
      <w:r>
        <w:rPr>
          <w:rFonts w:hint="eastAsia" w:ascii="仿宋_GB2312" w:eastAsia="仿宋_GB2312" w:cs="Times New Roman"/>
          <w:b/>
          <w:sz w:val="32"/>
          <w:szCs w:val="32"/>
          <w:lang w:val="en-US" w:eastAsia="zh-CN"/>
        </w:rPr>
        <w:t>法律服务</w:t>
      </w:r>
      <w:r>
        <w:rPr>
          <w:rFonts w:hint="eastAsia" w:ascii="仿宋_GB2312" w:eastAsia="仿宋_GB2312" w:cs="Times New Roman"/>
          <w:b/>
          <w:sz w:val="32"/>
          <w:szCs w:val="32"/>
        </w:rPr>
        <w:t>，包括但不限于：</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起草或审查各项招标文件，并为评标、议标、决标提供法律意见</w:t>
      </w:r>
      <w:r>
        <w:rPr>
          <w:rFonts w:hint="eastAsia" w:ascii="仿宋_GB2312" w:eastAsia="仿宋_GB2312" w:cs="Times New Roman"/>
          <w:sz w:val="32"/>
          <w:szCs w:val="32"/>
        </w:rPr>
        <w:t>；</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协助避免、处理招投标过程中的争议和纠纷。</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为合同模式或相关条款提供法律咨询</w:t>
      </w:r>
      <w:r>
        <w:rPr>
          <w:rFonts w:hint="eastAsia" w:ascii="仿宋_GB2312" w:eastAsia="仿宋_GB2312" w:cs="Times New Roman"/>
          <w:sz w:val="32"/>
          <w:szCs w:val="32"/>
        </w:rPr>
        <w:t>；</w:t>
      </w:r>
    </w:p>
    <w:p>
      <w:pPr>
        <w:widowControl w:val="0"/>
        <w:snapToGrid w:val="0"/>
        <w:spacing w:beforeLines="0" w:afterLines="0" w:line="520"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 xml:space="preserve">- </w:t>
      </w:r>
      <w:r>
        <w:rPr>
          <w:rFonts w:hint="eastAsia" w:ascii="仿宋_GB2312" w:eastAsia="仿宋_GB2312" w:cs="Times New Roman"/>
          <w:sz w:val="32"/>
          <w:szCs w:val="32"/>
          <w:lang w:val="en-US" w:eastAsia="zh-CN"/>
        </w:rPr>
        <w:t>参与施工合同的起草、修改和签约谈判，包括但不限于施工总承包合同、勘察合同、设计合同、监理合同、工咨询合同、设备采购等合同。</w:t>
      </w:r>
    </w:p>
    <w:p>
      <w:pPr>
        <w:widowControl w:val="0"/>
        <w:numPr>
          <w:ilvl w:val="0"/>
          <w:numId w:val="0"/>
        </w:numPr>
        <w:snapToGrid w:val="0"/>
        <w:spacing w:beforeLines="0" w:afterLines="0" w:line="520" w:lineRule="exact"/>
        <w:ind w:firstLine="643" w:firstLineChars="200"/>
        <w:rPr>
          <w:rFonts w:hint="eastAsia" w:ascii="仿宋_GB2312" w:eastAsia="仿宋_GB2312" w:cs="Times New Roman"/>
          <w:b/>
          <w:sz w:val="32"/>
          <w:szCs w:val="32"/>
          <w:lang w:val="en-US" w:eastAsia="zh-CN"/>
        </w:rPr>
      </w:pPr>
      <w:r>
        <w:rPr>
          <w:rFonts w:hint="eastAsia" w:ascii="仿宋_GB2312" w:eastAsia="仿宋_GB2312" w:cs="Times New Roman"/>
          <w:b/>
          <w:sz w:val="32"/>
          <w:szCs w:val="32"/>
          <w:lang w:val="en-US" w:eastAsia="zh-CN"/>
        </w:rPr>
        <w:t>3.项目建设阶段法律服务，</w:t>
      </w:r>
      <w:r>
        <w:rPr>
          <w:rFonts w:hint="eastAsia" w:ascii="仿宋_GB2312" w:eastAsia="仿宋_GB2312" w:cs="Times New Roman"/>
          <w:b/>
          <w:sz w:val="32"/>
          <w:szCs w:val="32"/>
        </w:rPr>
        <w:t>包括但不限于：</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为施工建设合同的履行提供法律咨询，如工程价款、工期、质量、索赔/反索赔、保险事故等提供法律意见；</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参与建设工程施工过程中内部相关法律问题的核查，及时提示风险，提出修正意见，为施工建设合同履行过程中可能发生的各类争议、纠纷提出法律意见。</w:t>
      </w:r>
    </w:p>
    <w:p>
      <w:pPr>
        <w:widowControl w:val="0"/>
        <w:numPr>
          <w:ilvl w:val="0"/>
          <w:numId w:val="0"/>
        </w:numPr>
        <w:snapToGrid w:val="0"/>
        <w:spacing w:beforeLines="0" w:afterLines="0" w:line="520" w:lineRule="exact"/>
        <w:ind w:firstLine="643" w:firstLineChars="200"/>
        <w:rPr>
          <w:rFonts w:hint="eastAsia" w:ascii="仿宋_GB2312" w:eastAsia="仿宋_GB2312" w:cs="Times New Roman"/>
          <w:b/>
          <w:sz w:val="32"/>
          <w:szCs w:val="32"/>
        </w:rPr>
      </w:pPr>
      <w:r>
        <w:rPr>
          <w:rFonts w:hint="eastAsia" w:ascii="仿宋_GB2312" w:eastAsia="仿宋_GB2312" w:cs="Times New Roman"/>
          <w:b/>
          <w:sz w:val="32"/>
          <w:szCs w:val="32"/>
          <w:lang w:val="en-US" w:eastAsia="zh-CN"/>
        </w:rPr>
        <w:t>4.项目竣工验收阶段法律服务</w:t>
      </w:r>
      <w:r>
        <w:rPr>
          <w:rFonts w:hint="eastAsia" w:ascii="仿宋_GB2312" w:eastAsia="仿宋_GB2312" w:cs="Times New Roman"/>
          <w:b/>
          <w:sz w:val="32"/>
          <w:szCs w:val="32"/>
        </w:rPr>
        <w:t>，包括但不限于：</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应公司要求参与中间验收、协助办理阶段性结算、进度款制度请求事宜；</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协助并共同参与本项目的竣工验收，协助参与决算阶段的各种谈判、工程会议，并提供法律建议或意见；</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协助处理结算引起的争议或纠纷。</w:t>
      </w:r>
    </w:p>
    <w:p>
      <w:pPr>
        <w:widowControl w:val="0"/>
        <w:snapToGrid w:val="0"/>
        <w:spacing w:beforeLines="0" w:afterLines="0" w:line="520" w:lineRule="exact"/>
        <w:ind w:firstLine="643" w:firstLineChars="200"/>
        <w:rPr>
          <w:rFonts w:hint="eastAsia" w:ascii="仿宋_GB2312" w:eastAsia="仿宋_GB2312" w:cs="Times New Roman"/>
          <w:sz w:val="32"/>
          <w:szCs w:val="32"/>
          <w:lang w:val="en-US" w:eastAsia="zh-CN"/>
        </w:rPr>
      </w:pPr>
      <w:r>
        <w:rPr>
          <w:rFonts w:hint="eastAsia" w:ascii="仿宋_GB2312" w:eastAsia="仿宋_GB2312" w:cs="Times New Roman"/>
          <w:b/>
          <w:sz w:val="32"/>
          <w:szCs w:val="32"/>
          <w:lang w:val="en-US" w:eastAsia="zh-CN"/>
        </w:rPr>
        <w:t>5.项目并网阶段的法律服务</w:t>
      </w:r>
      <w:r>
        <w:rPr>
          <w:rFonts w:hint="eastAsia" w:ascii="仿宋_GB2312" w:eastAsia="仿宋_GB2312" w:cs="Times New Roman"/>
          <w:b/>
          <w:sz w:val="32"/>
          <w:szCs w:val="32"/>
        </w:rPr>
        <w:t>，包括但不限于：</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起草或审查并网阶段需签订的相关协议或文件，如并网调度协议、购售电合同、运维协议、通道租赁协议等；</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项目合规手续的梳理及风险提示，提出完善意见；</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 xml:space="preserve"> 并网前涉及法律争议事项的咨询服务；</w:t>
      </w:r>
    </w:p>
    <w:p>
      <w:pPr>
        <w:widowControl w:val="0"/>
        <w:snapToGrid w:val="0"/>
        <w:spacing w:beforeLines="0" w:afterLines="0" w:line="520" w:lineRule="exact"/>
        <w:ind w:firstLine="643" w:firstLineChars="200"/>
        <w:rPr>
          <w:rFonts w:hint="eastAsia" w:ascii="仿宋_GB2312" w:eastAsia="仿宋_GB2312" w:cs="Times New Roman"/>
          <w:b/>
          <w:sz w:val="32"/>
          <w:szCs w:val="32"/>
        </w:rPr>
      </w:pPr>
      <w:r>
        <w:rPr>
          <w:rFonts w:hint="eastAsia" w:ascii="仿宋_GB2312" w:eastAsia="仿宋_GB2312" w:cs="Times New Roman"/>
          <w:b/>
          <w:sz w:val="32"/>
          <w:szCs w:val="32"/>
        </w:rPr>
        <w:t>其他服务事项：</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1.为项目公司提供1次开发建设风险防范的法律培训；</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2.审查所有涉及项目公司的合同，根据需要起草合同文本；</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3.梳理并完善项目公司内控制度，审核项目公司全部制度；</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4.进行违法违约风险提示，避免公司遭受行政处罚或承担违约责任</w:t>
      </w:r>
      <w:r>
        <w:rPr>
          <w:rFonts w:hint="eastAsia" w:ascii="仿宋_GB2312" w:eastAsia="仿宋_GB2312" w:cs="Times New Roman"/>
          <w:sz w:val="32"/>
          <w:szCs w:val="32"/>
        </w:rPr>
        <w:t>；</w:t>
      </w:r>
    </w:p>
    <w:p>
      <w:pPr>
        <w:widowControl w:val="0"/>
        <w:snapToGrid w:val="0"/>
        <w:spacing w:beforeLines="0" w:afterLines="0"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参与本项目</w:t>
      </w:r>
      <w:r>
        <w:rPr>
          <w:rFonts w:hint="eastAsia" w:ascii="仿宋_GB2312" w:eastAsia="仿宋_GB2312" w:cs="Times New Roman"/>
          <w:sz w:val="32"/>
          <w:szCs w:val="32"/>
          <w:lang w:val="en-US" w:eastAsia="zh-CN"/>
        </w:rPr>
        <w:t>相关</w:t>
      </w:r>
      <w:r>
        <w:rPr>
          <w:rFonts w:hint="eastAsia" w:ascii="仿宋_GB2312" w:eastAsia="仿宋_GB2312" w:cs="Times New Roman"/>
          <w:sz w:val="32"/>
          <w:szCs w:val="32"/>
        </w:rPr>
        <w:t>会议，讨论相关法律问题，提供法律解决方案</w:t>
      </w:r>
      <w:r>
        <w:rPr>
          <w:rFonts w:hint="eastAsia" w:ascii="仿宋_GB2312" w:eastAsia="仿宋_GB2312" w:cs="Times New Roman"/>
          <w:sz w:val="32"/>
          <w:szCs w:val="32"/>
          <w:lang w:eastAsia="zh-CN"/>
        </w:rPr>
        <w:t>。</w:t>
      </w:r>
    </w:p>
    <w:p>
      <w:pPr>
        <w:widowControl w:val="0"/>
        <w:spacing w:beforeLines="0" w:afterLines="0" w:line="520" w:lineRule="exact"/>
        <w:ind w:firstLine="643" w:firstLineChars="200"/>
        <w:rPr>
          <w:rFonts w:hint="default" w:ascii="宋体" w:eastAsia="宋体"/>
          <w:sz w:val="21"/>
          <w:szCs w:val="24"/>
        </w:rPr>
      </w:pPr>
      <w:r>
        <w:rPr>
          <w:rFonts w:hint="eastAsia" w:ascii="仿宋_GB2312" w:eastAsia="仿宋_GB2312"/>
          <w:b/>
          <w:color w:val="000000"/>
          <w:sz w:val="32"/>
          <w:szCs w:val="24"/>
        </w:rPr>
        <w:t>注：以上主要工作内容，</w:t>
      </w:r>
      <w:r>
        <w:rPr>
          <w:rFonts w:hint="eastAsia" w:ascii="仿宋_GB2312" w:eastAsia="仿宋_GB2312"/>
          <w:b/>
          <w:color w:val="000000"/>
          <w:sz w:val="32"/>
          <w:szCs w:val="24"/>
          <w:lang w:eastAsia="zh-CN"/>
        </w:rPr>
        <w:t>比选申请人</w:t>
      </w:r>
      <w:r>
        <w:rPr>
          <w:rFonts w:hint="eastAsia" w:ascii="仿宋_GB2312" w:eastAsia="仿宋_GB2312"/>
          <w:b/>
          <w:color w:val="000000"/>
          <w:sz w:val="32"/>
          <w:szCs w:val="24"/>
        </w:rPr>
        <w:t>可根据以往类似项目的经验增加和细化</w:t>
      </w:r>
      <w:r>
        <w:rPr>
          <w:rFonts w:hint="eastAsia" w:ascii="仿宋_GB2312" w:eastAsia="仿宋_GB2312"/>
          <w:b/>
          <w:color w:val="000000"/>
          <w:sz w:val="32"/>
          <w:szCs w:val="24"/>
          <w:lang w:eastAsia="zh-CN"/>
        </w:rPr>
        <w:t>，</w:t>
      </w:r>
      <w:r>
        <w:rPr>
          <w:rFonts w:hint="eastAsia" w:ascii="仿宋_GB2312" w:eastAsia="仿宋_GB2312"/>
          <w:b/>
          <w:color w:val="000000"/>
          <w:sz w:val="32"/>
          <w:szCs w:val="24"/>
          <w:lang w:val="en-US" w:eastAsia="zh-CN"/>
        </w:rPr>
        <w:t>但不得减少</w:t>
      </w:r>
      <w:r>
        <w:rPr>
          <w:rFonts w:hint="eastAsia" w:ascii="仿宋_GB2312" w:eastAsia="仿宋_GB2312"/>
          <w:b/>
          <w:color w:val="000000"/>
          <w:sz w:val="32"/>
          <w:szCs w:val="24"/>
        </w:rPr>
        <w:t>。</w:t>
      </w:r>
    </w:p>
    <w:p>
      <w:pPr>
        <w:widowControl w:val="0"/>
        <w:snapToGrid w:val="0"/>
        <w:spacing w:beforeLines="0" w:afterLines="0" w:line="520" w:lineRule="exact"/>
        <w:ind w:firstLine="640" w:firstLineChars="200"/>
        <w:rPr>
          <w:rFonts w:hint="eastAsia" w:ascii="黑体" w:hAnsi="ˎ̥_GB2312" w:eastAsia="黑体" w:cs="宋体"/>
          <w:color w:val="000000"/>
          <w:kern w:val="0"/>
          <w:sz w:val="32"/>
          <w:szCs w:val="32"/>
        </w:rPr>
      </w:pPr>
      <w:r>
        <w:rPr>
          <w:rFonts w:hint="eastAsia" w:ascii="黑体" w:hAnsi="ˎ̥_GB2312" w:eastAsia="黑体" w:cs="宋体"/>
          <w:color w:val="000000"/>
          <w:kern w:val="0"/>
          <w:sz w:val="32"/>
          <w:szCs w:val="32"/>
          <w:lang w:val="en-US" w:eastAsia="zh-CN"/>
        </w:rPr>
        <w:t>三</w:t>
      </w:r>
      <w:r>
        <w:rPr>
          <w:rFonts w:hint="eastAsia" w:ascii="黑体" w:hAnsi="ˎ̥_GB2312" w:eastAsia="黑体" w:cs="宋体"/>
          <w:color w:val="000000"/>
          <w:kern w:val="0"/>
          <w:sz w:val="32"/>
          <w:szCs w:val="32"/>
        </w:rPr>
        <w:t>、</w:t>
      </w:r>
      <w:r>
        <w:rPr>
          <w:rFonts w:hint="eastAsia" w:ascii="黑体" w:hAnsi="ˎ̥_GB2312" w:eastAsia="黑体" w:cs="宋体"/>
          <w:color w:val="000000"/>
          <w:kern w:val="0"/>
          <w:sz w:val="32"/>
          <w:szCs w:val="32"/>
          <w:lang w:val="en-US" w:eastAsia="zh-CN"/>
        </w:rPr>
        <w:t>比选申请</w:t>
      </w:r>
      <w:r>
        <w:rPr>
          <w:rFonts w:hint="eastAsia" w:ascii="黑体" w:hAnsi="ˎ̥_GB2312" w:eastAsia="黑体" w:cs="宋体"/>
          <w:color w:val="000000"/>
          <w:kern w:val="0"/>
          <w:sz w:val="32"/>
          <w:szCs w:val="32"/>
        </w:rPr>
        <w:t>人资格要求：</w:t>
      </w:r>
    </w:p>
    <w:p>
      <w:pPr>
        <w:widowControl w:val="0"/>
        <w:snapToGrid w:val="0"/>
        <w:spacing w:beforeLines="0" w:afterLines="0" w:line="520" w:lineRule="exact"/>
        <w:ind w:firstLine="640" w:firstLineChars="200"/>
        <w:rPr>
          <w:rFonts w:hint="eastAsia" w:ascii="仿宋_GB2312" w:hAnsi="等线" w:eastAsia="仿宋_GB2312"/>
          <w:sz w:val="32"/>
          <w:szCs w:val="24"/>
        </w:rPr>
      </w:pPr>
      <w:r>
        <w:rPr>
          <w:rFonts w:hint="eastAsia" w:ascii="仿宋_GB2312" w:hAnsi="等线" w:eastAsia="仿宋_GB2312"/>
          <w:sz w:val="32"/>
          <w:szCs w:val="24"/>
        </w:rPr>
        <w:t>（一）</w:t>
      </w:r>
      <w:r>
        <w:rPr>
          <w:rFonts w:hint="eastAsia" w:ascii="仿宋_GB2312" w:hAnsi="等线" w:eastAsia="仿宋_GB2312"/>
          <w:sz w:val="32"/>
          <w:szCs w:val="24"/>
          <w:lang w:val="en-US" w:eastAsia="zh-CN"/>
        </w:rPr>
        <w:t>团队成员或本所其他律师</w:t>
      </w:r>
      <w:r>
        <w:rPr>
          <w:rFonts w:hint="eastAsia" w:ascii="仿宋_GB2312" w:hAnsi="等线" w:eastAsia="仿宋_GB2312"/>
          <w:sz w:val="32"/>
          <w:szCs w:val="24"/>
        </w:rPr>
        <w:t>能</w:t>
      </w:r>
      <w:r>
        <w:rPr>
          <w:rFonts w:hint="eastAsia" w:ascii="仿宋_GB2312" w:hAnsi="等线" w:eastAsia="仿宋_GB2312"/>
          <w:sz w:val="32"/>
          <w:szCs w:val="24"/>
          <w:lang w:val="en-US" w:eastAsia="zh-CN"/>
        </w:rPr>
        <w:t>及时</w:t>
      </w:r>
      <w:r>
        <w:rPr>
          <w:rFonts w:hint="eastAsia" w:ascii="仿宋_GB2312" w:hAnsi="等线" w:eastAsia="仿宋_GB2312"/>
          <w:sz w:val="32"/>
          <w:szCs w:val="24"/>
        </w:rPr>
        <w:t>到川投新能源公司提供法律服务；</w:t>
      </w:r>
    </w:p>
    <w:p>
      <w:pPr>
        <w:widowControl w:val="0"/>
        <w:snapToGrid w:val="0"/>
        <w:spacing w:beforeLines="0" w:afterLines="0" w:line="520" w:lineRule="exact"/>
        <w:ind w:firstLine="640" w:firstLineChars="200"/>
        <w:rPr>
          <w:rFonts w:hint="eastAsia" w:ascii="仿宋_GB2312" w:hAnsi="等线" w:eastAsia="仿宋_GB2312"/>
          <w:sz w:val="32"/>
          <w:szCs w:val="24"/>
        </w:rPr>
      </w:pPr>
      <w:r>
        <w:rPr>
          <w:rFonts w:hint="eastAsia" w:ascii="仿宋_GB2312" w:hAnsi="等线" w:eastAsia="仿宋_GB2312"/>
          <w:sz w:val="32"/>
          <w:szCs w:val="24"/>
        </w:rPr>
        <w:t>（二）业务板块涵盖</w:t>
      </w:r>
      <w:r>
        <w:rPr>
          <w:rFonts w:hint="eastAsia" w:ascii="仿宋_GB2312" w:hAnsi="等线" w:eastAsia="仿宋_GB2312"/>
          <w:sz w:val="32"/>
          <w:szCs w:val="24"/>
          <w:lang w:val="en-US" w:eastAsia="zh-CN"/>
        </w:rPr>
        <w:t>投资与并购</w:t>
      </w:r>
      <w:r>
        <w:rPr>
          <w:rFonts w:hint="eastAsia" w:ascii="仿宋_GB2312" w:hAnsi="等线" w:eastAsia="仿宋_GB2312"/>
          <w:sz w:val="32"/>
          <w:szCs w:val="24"/>
        </w:rPr>
        <w:t>、金融证券、资本运作、</w:t>
      </w:r>
      <w:r>
        <w:rPr>
          <w:rFonts w:hint="eastAsia" w:ascii="仿宋_GB2312" w:hAnsi="等线" w:eastAsia="仿宋_GB2312"/>
          <w:sz w:val="32"/>
          <w:szCs w:val="24"/>
          <w:lang w:val="en-US" w:eastAsia="zh-CN"/>
        </w:rPr>
        <w:t>工程建设、破产重整与清算 、政府与公共事务、公司运营</w:t>
      </w:r>
      <w:r>
        <w:rPr>
          <w:rFonts w:hint="eastAsia" w:ascii="仿宋_GB2312" w:hAnsi="等线" w:eastAsia="仿宋_GB2312"/>
          <w:sz w:val="32"/>
          <w:szCs w:val="24"/>
        </w:rPr>
        <w:t>合规管理、风险防控、法律纠纷处理等；</w:t>
      </w:r>
    </w:p>
    <w:p>
      <w:pPr>
        <w:widowControl w:val="0"/>
        <w:snapToGrid w:val="0"/>
        <w:spacing w:beforeLines="0" w:afterLines="0" w:line="520" w:lineRule="exact"/>
        <w:ind w:firstLine="640" w:firstLineChars="200"/>
        <w:rPr>
          <w:rFonts w:hint="eastAsia" w:ascii="仿宋_GB2312" w:hAnsi="等线" w:eastAsia="仿宋_GB2312"/>
          <w:sz w:val="32"/>
          <w:szCs w:val="24"/>
        </w:rPr>
      </w:pPr>
      <w:r>
        <w:rPr>
          <w:rFonts w:hint="eastAsia" w:ascii="仿宋_GB2312" w:hAnsi="等线" w:eastAsia="仿宋_GB2312"/>
          <w:sz w:val="32"/>
          <w:szCs w:val="24"/>
        </w:rPr>
        <w:t>（</w:t>
      </w:r>
      <w:r>
        <w:rPr>
          <w:rFonts w:hint="eastAsia" w:ascii="仿宋_GB2312" w:hAnsi="等线" w:eastAsia="仿宋_GB2312"/>
          <w:sz w:val="32"/>
          <w:szCs w:val="24"/>
          <w:lang w:val="en-US" w:eastAsia="zh-CN"/>
        </w:rPr>
        <w:t>三</w:t>
      </w:r>
      <w:r>
        <w:rPr>
          <w:rFonts w:hint="eastAsia" w:ascii="仿宋_GB2312" w:hAnsi="等线" w:eastAsia="仿宋_GB2312"/>
          <w:sz w:val="32"/>
          <w:szCs w:val="24"/>
        </w:rPr>
        <w:t>）依法设立并符合法律、法规和相关监管要求条件；</w:t>
      </w:r>
    </w:p>
    <w:p>
      <w:pPr>
        <w:widowControl w:val="0"/>
        <w:snapToGrid w:val="0"/>
        <w:spacing w:beforeLines="0" w:afterLines="0" w:line="520" w:lineRule="exact"/>
        <w:ind w:firstLine="640" w:firstLineChars="200"/>
        <w:rPr>
          <w:rFonts w:hint="eastAsia" w:ascii="仿宋_GB2312" w:hAnsi="等线" w:eastAsia="仿宋_GB2312"/>
          <w:sz w:val="32"/>
          <w:szCs w:val="24"/>
        </w:rPr>
      </w:pPr>
      <w:r>
        <w:rPr>
          <w:rFonts w:hint="eastAsia" w:ascii="仿宋_GB2312" w:hAnsi="等线" w:eastAsia="仿宋_GB2312"/>
          <w:sz w:val="32"/>
          <w:szCs w:val="24"/>
        </w:rPr>
        <w:t>（</w:t>
      </w:r>
      <w:r>
        <w:rPr>
          <w:rFonts w:hint="eastAsia" w:ascii="仿宋_GB2312" w:hAnsi="等线" w:eastAsia="仿宋_GB2312"/>
          <w:sz w:val="32"/>
          <w:szCs w:val="24"/>
          <w:lang w:val="en-US" w:eastAsia="zh-CN"/>
        </w:rPr>
        <w:t>四</w:t>
      </w:r>
      <w:r>
        <w:rPr>
          <w:rFonts w:hint="eastAsia" w:ascii="仿宋_GB2312" w:hAnsi="等线" w:eastAsia="仿宋_GB2312"/>
          <w:sz w:val="32"/>
          <w:szCs w:val="24"/>
        </w:rPr>
        <w:t>）具有良好的团队治理、业务操作流程、风险管理体系和内部控制；</w:t>
      </w:r>
    </w:p>
    <w:p>
      <w:pPr>
        <w:widowControl w:val="0"/>
        <w:numPr>
          <w:ilvl w:val="0"/>
          <w:numId w:val="0"/>
        </w:numPr>
        <w:snapToGrid w:val="0"/>
        <w:spacing w:beforeLines="0" w:afterLines="0" w:line="520" w:lineRule="exact"/>
        <w:ind w:firstLine="640" w:firstLineChars="200"/>
        <w:rPr>
          <w:rFonts w:hint="eastAsia" w:ascii="仿宋_GB2312" w:hAnsi="等线" w:eastAsia="仿宋_GB2312"/>
          <w:sz w:val="32"/>
          <w:szCs w:val="24"/>
          <w:lang w:eastAsia="zh-CN"/>
        </w:rPr>
      </w:pPr>
      <w:r>
        <w:rPr>
          <w:rFonts w:hint="eastAsia" w:ascii="仿宋_GB2312" w:hAnsi="等线" w:eastAsia="仿宋_GB2312"/>
          <w:sz w:val="32"/>
          <w:szCs w:val="24"/>
          <w:lang w:eastAsia="zh-CN"/>
        </w:rPr>
        <w:t>（</w:t>
      </w:r>
      <w:r>
        <w:rPr>
          <w:rFonts w:hint="eastAsia" w:ascii="仿宋_GB2312" w:hAnsi="等线" w:eastAsia="仿宋_GB2312"/>
          <w:sz w:val="32"/>
          <w:szCs w:val="24"/>
          <w:lang w:val="en-US" w:eastAsia="zh-CN"/>
        </w:rPr>
        <w:t>五</w:t>
      </w:r>
      <w:r>
        <w:rPr>
          <w:rFonts w:hint="eastAsia" w:ascii="仿宋_GB2312" w:hAnsi="等线" w:eastAsia="仿宋_GB2312"/>
          <w:sz w:val="32"/>
          <w:szCs w:val="24"/>
          <w:lang w:eastAsia="zh-CN"/>
        </w:rPr>
        <w:t>）比选申请人</w:t>
      </w:r>
      <w:r>
        <w:rPr>
          <w:rFonts w:hint="eastAsia" w:ascii="仿宋_GB2312" w:hAnsi="等线" w:eastAsia="仿宋_GB2312"/>
          <w:sz w:val="32"/>
          <w:szCs w:val="24"/>
        </w:rPr>
        <w:t>与川投新能源提供本次服务无利益冲突</w:t>
      </w:r>
      <w:r>
        <w:rPr>
          <w:rFonts w:hint="eastAsia" w:ascii="仿宋_GB2312" w:hAnsi="等线" w:eastAsia="仿宋_GB2312"/>
          <w:sz w:val="32"/>
          <w:szCs w:val="24"/>
          <w:lang w:eastAsia="zh-CN"/>
        </w:rPr>
        <w:t>；</w:t>
      </w:r>
    </w:p>
    <w:p>
      <w:pPr>
        <w:widowControl w:val="0"/>
        <w:snapToGrid w:val="0"/>
        <w:spacing w:beforeLines="0" w:afterLines="0" w:line="520" w:lineRule="exact"/>
        <w:ind w:firstLine="640" w:firstLineChars="200"/>
        <w:rPr>
          <w:rFonts w:hint="eastAsia" w:ascii="仿宋_GB2312" w:hAnsi="等线" w:eastAsia="仿宋_GB2312"/>
          <w:sz w:val="32"/>
          <w:szCs w:val="24"/>
          <w:lang w:val="en-US" w:eastAsia="zh-CN"/>
        </w:rPr>
      </w:pPr>
      <w:r>
        <w:rPr>
          <w:rFonts w:hint="eastAsia" w:ascii="仿宋_GB2312" w:hAnsi="等线" w:eastAsia="仿宋_GB2312"/>
          <w:sz w:val="32"/>
          <w:szCs w:val="24"/>
        </w:rPr>
        <w:t>（</w:t>
      </w:r>
      <w:r>
        <w:rPr>
          <w:rFonts w:hint="eastAsia" w:ascii="仿宋_GB2312" w:hAnsi="等线" w:eastAsia="仿宋_GB2312"/>
          <w:sz w:val="32"/>
          <w:szCs w:val="24"/>
          <w:lang w:val="en-US" w:eastAsia="zh-CN"/>
        </w:rPr>
        <w:t>六</w:t>
      </w:r>
      <w:r>
        <w:rPr>
          <w:rFonts w:hint="eastAsia" w:ascii="仿宋_GB2312" w:hAnsi="等线" w:eastAsia="仿宋_GB2312"/>
          <w:sz w:val="32"/>
          <w:szCs w:val="24"/>
        </w:rPr>
        <w:t>）</w:t>
      </w:r>
      <w:r>
        <w:rPr>
          <w:rFonts w:hint="eastAsia" w:ascii="仿宋_GB2312" w:hAnsi="等线" w:eastAsia="仿宋_GB2312"/>
          <w:sz w:val="32"/>
          <w:szCs w:val="24"/>
          <w:lang w:val="en-US" w:eastAsia="zh-CN"/>
        </w:rPr>
        <w:t>具有省内外光伏项目开发和工程建设服务经验；</w:t>
      </w:r>
    </w:p>
    <w:p>
      <w:pPr>
        <w:widowControl w:val="0"/>
        <w:snapToGrid w:val="0"/>
        <w:spacing w:beforeLines="0" w:afterLines="0" w:line="520" w:lineRule="exact"/>
        <w:ind w:firstLine="640" w:firstLineChars="200"/>
        <w:rPr>
          <w:rFonts w:hint="eastAsia" w:ascii="仿宋_GB2312" w:hAnsi="等线" w:eastAsia="仿宋_GB2312"/>
          <w:sz w:val="32"/>
          <w:szCs w:val="24"/>
        </w:rPr>
      </w:pPr>
      <w:r>
        <w:rPr>
          <w:rFonts w:hint="eastAsia" w:ascii="仿宋_GB2312" w:hAnsi="等线" w:eastAsia="仿宋_GB2312"/>
          <w:sz w:val="32"/>
          <w:szCs w:val="24"/>
          <w:lang w:eastAsia="zh-CN"/>
        </w:rPr>
        <w:t>（</w:t>
      </w:r>
      <w:r>
        <w:rPr>
          <w:rFonts w:hint="eastAsia" w:ascii="仿宋_GB2312" w:hAnsi="等线" w:eastAsia="仿宋_GB2312"/>
          <w:sz w:val="32"/>
          <w:szCs w:val="24"/>
          <w:lang w:val="en-US" w:eastAsia="zh-CN"/>
        </w:rPr>
        <w:t>七</w:t>
      </w:r>
      <w:r>
        <w:rPr>
          <w:rFonts w:hint="eastAsia" w:ascii="仿宋_GB2312" w:hAnsi="等线" w:eastAsia="仿宋_GB2312"/>
          <w:sz w:val="32"/>
          <w:szCs w:val="24"/>
          <w:lang w:eastAsia="zh-CN"/>
        </w:rPr>
        <w:t>）</w:t>
      </w:r>
      <w:r>
        <w:rPr>
          <w:rFonts w:hint="eastAsia" w:ascii="仿宋_GB2312" w:hAnsi="等线" w:eastAsia="仿宋_GB2312"/>
          <w:sz w:val="32"/>
          <w:szCs w:val="24"/>
        </w:rPr>
        <w:t>未受律所主管部门及协会的</w:t>
      </w:r>
      <w:r>
        <w:rPr>
          <w:rFonts w:hint="eastAsia" w:ascii="仿宋_GB2312" w:hAnsi="等线" w:eastAsia="仿宋_GB2312"/>
          <w:sz w:val="32"/>
          <w:szCs w:val="24"/>
          <w:lang w:val="en-US" w:eastAsia="zh-CN"/>
        </w:rPr>
        <w:t>处罚</w:t>
      </w:r>
      <w:r>
        <w:rPr>
          <w:rFonts w:hint="eastAsia" w:ascii="仿宋_GB2312" w:hAnsi="等线" w:eastAsia="仿宋_GB2312"/>
          <w:sz w:val="32"/>
          <w:szCs w:val="24"/>
        </w:rPr>
        <w:t>和没有其他不宜参与本项目的情况。</w:t>
      </w:r>
    </w:p>
    <w:p>
      <w:pPr>
        <w:widowControl w:val="0"/>
        <w:snapToGrid w:val="0"/>
        <w:spacing w:beforeLines="0" w:afterLines="0"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lang w:val="en-US" w:eastAsia="zh-CN"/>
        </w:rPr>
        <w:t>四</w:t>
      </w:r>
      <w:r>
        <w:rPr>
          <w:rFonts w:hint="eastAsia" w:ascii="黑体" w:hAnsi="黑体" w:eastAsia="黑体" w:cs="黑体"/>
          <w:color w:val="000000"/>
          <w:kern w:val="0"/>
          <w:sz w:val="32"/>
          <w:szCs w:val="32"/>
        </w:rPr>
        <w:t>、</w:t>
      </w:r>
      <w:r>
        <w:rPr>
          <w:rFonts w:hint="eastAsia" w:ascii="黑体" w:hAnsi="黑体" w:eastAsia="黑体" w:cs="黑体"/>
          <w:sz w:val="32"/>
          <w:szCs w:val="32"/>
          <w:lang w:val="en-US" w:eastAsia="zh-CN"/>
        </w:rPr>
        <w:t>比选公告发布</w:t>
      </w:r>
    </w:p>
    <w:p>
      <w:pPr>
        <w:widowControl w:val="0"/>
        <w:numPr>
          <w:ilvl w:val="0"/>
          <w:numId w:val="0"/>
        </w:numPr>
        <w:snapToGrid w:val="0"/>
        <w:spacing w:beforeLines="0" w:afterLines="0" w:line="520" w:lineRule="exact"/>
        <w:ind w:firstLine="640" w:firstLineChars="200"/>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val="en-US" w:eastAsia="zh-CN"/>
        </w:rPr>
        <w:t>本比选公告在四川省投资集团有限责任公司(http://www.invest.com.cn/)及天府阳光采购服务平台（http://scig.tfygcgfw.com/）发布。</w:t>
      </w:r>
    </w:p>
    <w:p>
      <w:pPr>
        <w:widowControl w:val="0"/>
        <w:snapToGrid w:val="0"/>
        <w:spacing w:beforeLines="0" w:afterLines="0"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比选文件的获取</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5.1凡有意参与本次公开比选的报价人，请于报价文件递交截止时间前，在天府阳光采购服务平台（http://scig.tfygcgfw.com/）上进行比选报名并获取比选文件。</w:t>
      </w:r>
    </w:p>
    <w:p>
      <w:pPr>
        <w:widowControl w:val="0"/>
        <w:snapToGrid w:val="0"/>
        <w:spacing w:beforeLines="0" w:afterLines="0" w:line="520" w:lineRule="exact"/>
        <w:ind w:left="638" w:leftChars="304"/>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5.2缴费注意事项</w:t>
      </w:r>
      <w:r>
        <w:rPr>
          <w:rFonts w:hint="eastAsia" w:ascii="仿宋_GB2312" w:eastAsia="仿宋_GB2312" w:cs="Times New Roman"/>
          <w:sz w:val="32"/>
          <w:szCs w:val="32"/>
          <w:lang w:val="en-US" w:eastAsia="zh-CN"/>
        </w:rPr>
        <w:br w:type="textWrapping"/>
      </w:r>
      <w:r>
        <w:rPr>
          <w:rFonts w:hint="eastAsia" w:ascii="仿宋_GB2312" w:eastAsia="仿宋_GB2312" w:cs="Times New Roman"/>
          <w:sz w:val="32"/>
          <w:szCs w:val="32"/>
          <w:lang w:val="en-US" w:eastAsia="zh-CN"/>
        </w:rPr>
        <w:t>为保证采购的公平公正，“天府阳 光采购服务平台”已与</w:t>
      </w:r>
    </w:p>
    <w:p>
      <w:pPr>
        <w:widowControl w:val="0"/>
        <w:snapToGrid w:val="0"/>
        <w:spacing w:beforeLines="0" w:afterLines="0" w:line="520" w:lineRule="exac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银行实现系统对接，从缴费账号生成、缴费确认、标书下载和投标功能开放，全部实现自动化、线上化，请报价人务必按照下述要求缴纳标书费，避免影响报价:</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(1)天府阳光采购服务平台收取标书费用50.00元，采购人不再额外收取任何费用。</w:t>
      </w:r>
      <w:r>
        <w:rPr>
          <w:rFonts w:hint="eastAsia" w:ascii="仿宋_GB2312" w:eastAsia="仿宋_GB2312" w:cs="Times New Roman"/>
          <w:sz w:val="32"/>
          <w:szCs w:val="32"/>
          <w:lang w:val="en-US" w:eastAsia="zh-CN"/>
        </w:rPr>
        <w:br w:type="textWrapping"/>
      </w:r>
      <w:r>
        <w:rPr>
          <w:rFonts w:hint="eastAsia" w:ascii="仿宋_GB2312" w:eastAsia="仿宋_GB2312" w:cs="Times New Roman"/>
          <w:sz w:val="32"/>
          <w:szCs w:val="32"/>
          <w:lang w:val="en-US" w:eastAsia="zh-CN"/>
        </w:rPr>
        <w:t xml:space="preserve">    (2)报价人一旦决定报价，请在“天府阳光采购服务平台”上点击“缴电子标书费”，银行系统会随机自动为该次缴费生成一次性的唯一银行账号。</w:t>
      </w:r>
      <w:r>
        <w:rPr>
          <w:rFonts w:hint="eastAsia" w:ascii="仿宋_GB2312" w:eastAsia="仿宋_GB2312" w:cs="Times New Roman"/>
          <w:sz w:val="32"/>
          <w:szCs w:val="32"/>
          <w:lang w:val="en-US" w:eastAsia="zh-CN"/>
        </w:rPr>
        <w:br w:type="textWrapping"/>
      </w:r>
      <w:r>
        <w:rPr>
          <w:rFonts w:hint="eastAsia" w:ascii="仿宋_GB2312" w:eastAsia="仿宋_GB2312" w:cs="Times New Roman"/>
          <w:sz w:val="32"/>
          <w:szCs w:val="32"/>
          <w:lang w:val="en-US" w:eastAsia="zh-CN"/>
        </w:rPr>
        <w:t xml:space="preserve">    (3)请报价人务必把标书费转入上述银行账户。报价人缴费后，银行系统会同步自动将缴费信息推送至“天府阳光采购服务平台”和报价人，平台系统亦同步开放权限，报价人即可在平台浏览和下载标书。</w:t>
      </w:r>
      <w:r>
        <w:rPr>
          <w:rFonts w:hint="eastAsia" w:ascii="仿宋_GB2312" w:eastAsia="仿宋_GB2312" w:cs="Times New Roman"/>
          <w:sz w:val="32"/>
          <w:szCs w:val="32"/>
          <w:lang w:val="en-US" w:eastAsia="zh-CN"/>
        </w:rPr>
        <w:br w:type="textWrapping"/>
      </w:r>
      <w:r>
        <w:rPr>
          <w:rFonts w:hint="eastAsia" w:ascii="仿宋_GB2312" w:eastAsia="仿宋_GB2312" w:cs="Times New Roman"/>
          <w:sz w:val="32"/>
          <w:szCs w:val="32"/>
          <w:lang w:val="en-US" w:eastAsia="zh-CN"/>
        </w:rPr>
        <w:t xml:space="preserve">    (4)请报价人务必严格按照上述要求进行报价操作。若报价人缴费到错误账号，天府阳光采购服务平台无法开放报价功能，由此无法购买标书、无法报价、退回款项延迟等产生的一切损失，均由报价人自行承担。</w:t>
      </w:r>
    </w:p>
    <w:p>
      <w:pPr>
        <w:widowControl w:val="0"/>
        <w:numPr>
          <w:ilvl w:val="0"/>
          <w:numId w:val="0"/>
        </w:numPr>
        <w:snapToGrid w:val="0"/>
        <w:spacing w:beforeLines="0" w:afterLines="0" w:line="52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六、递交报价文件及公开比选谈判时间</w:t>
      </w:r>
    </w:p>
    <w:p>
      <w:pPr>
        <w:widowControl w:val="0"/>
        <w:numPr>
          <w:ilvl w:val="0"/>
          <w:numId w:val="0"/>
        </w:numPr>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递交时间：2024年4月17日（周三）10:30</w:t>
      </w:r>
    </w:p>
    <w:p>
      <w:pPr>
        <w:widowControl w:val="0"/>
        <w:numPr>
          <w:ilvl w:val="0"/>
          <w:numId w:val="0"/>
        </w:numPr>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递交地点：武侯区临江西路1号川投大厦16楼1609会议室。</w:t>
      </w:r>
    </w:p>
    <w:p>
      <w:pPr>
        <w:pStyle w:val="2"/>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递交方式：现场递交</w:t>
      </w:r>
    </w:p>
    <w:p>
      <w:pPr>
        <w:pStyle w:val="2"/>
        <w:numPr>
          <w:ilvl w:val="0"/>
          <w:numId w:val="1"/>
        </w:numPr>
        <w:spacing w:beforeLines="0" w:afterLines="0"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联系方式</w:t>
      </w:r>
    </w:p>
    <w:p>
      <w:pPr>
        <w:widowControl w:val="0"/>
        <w:snapToGrid w:val="0"/>
        <w:spacing w:beforeLines="0" w:afterLines="0" w:line="52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联系人：袁老师，联系电话：18302834353</w:t>
      </w:r>
      <w:bookmarkStart w:id="7" w:name="_Toc440033321"/>
      <w:bookmarkEnd w:id="7"/>
      <w:bookmarkStart w:id="8" w:name="_Toc440039298"/>
      <w:bookmarkEnd w:id="8"/>
      <w:bookmarkStart w:id="9" w:name="_Toc440032848"/>
      <w:bookmarkEnd w:id="9"/>
      <w:bookmarkStart w:id="10" w:name="_Toc440039288"/>
      <w:bookmarkEnd w:id="10"/>
      <w:bookmarkStart w:id="11" w:name="_Toc440032843"/>
      <w:bookmarkEnd w:id="11"/>
      <w:bookmarkStart w:id="12" w:name="_Toc440033305"/>
      <w:bookmarkEnd w:id="12"/>
      <w:bookmarkStart w:id="13" w:name="_Toc476322332"/>
      <w:bookmarkEnd w:id="13"/>
      <w:bookmarkStart w:id="14" w:name="_Toc440032841"/>
      <w:bookmarkEnd w:id="14"/>
      <w:bookmarkStart w:id="15" w:name="_Toc440033314"/>
      <w:bookmarkEnd w:id="15"/>
      <w:bookmarkStart w:id="16" w:name="_Toc440032838"/>
      <w:bookmarkEnd w:id="16"/>
      <w:bookmarkStart w:id="17" w:name="_Toc440039292"/>
      <w:bookmarkEnd w:id="17"/>
      <w:bookmarkStart w:id="18" w:name="_Toc440032854"/>
      <w:bookmarkEnd w:id="18"/>
      <w:bookmarkStart w:id="19" w:name="_Toc440033309"/>
      <w:bookmarkEnd w:id="19"/>
      <w:bookmarkStart w:id="20" w:name="_Toc440033324"/>
      <w:bookmarkEnd w:id="20"/>
      <w:bookmarkStart w:id="21" w:name="_Toc440039297"/>
      <w:bookmarkEnd w:id="21"/>
      <w:bookmarkStart w:id="22" w:name="_Toc440032842"/>
      <w:bookmarkEnd w:id="22"/>
      <w:bookmarkStart w:id="23" w:name="_Toc440039309"/>
      <w:bookmarkEnd w:id="23"/>
      <w:bookmarkStart w:id="24" w:name="_Toc440039295"/>
      <w:bookmarkEnd w:id="24"/>
      <w:bookmarkStart w:id="25" w:name="_Toc440032852"/>
      <w:bookmarkEnd w:id="25"/>
      <w:bookmarkStart w:id="26" w:name="_Toc440039291"/>
      <w:bookmarkEnd w:id="26"/>
      <w:bookmarkStart w:id="27" w:name="_Toc440033317"/>
      <w:bookmarkEnd w:id="27"/>
      <w:bookmarkStart w:id="28" w:name="_Toc476322334"/>
      <w:bookmarkEnd w:id="28"/>
      <w:bookmarkStart w:id="29" w:name="_Toc440032847"/>
      <w:bookmarkEnd w:id="29"/>
      <w:bookmarkStart w:id="30" w:name="_Toc476322331"/>
      <w:bookmarkEnd w:id="30"/>
      <w:bookmarkStart w:id="31" w:name="_Toc440033326"/>
      <w:bookmarkEnd w:id="31"/>
      <w:bookmarkStart w:id="32" w:name="_Toc440039289"/>
      <w:bookmarkEnd w:id="32"/>
      <w:bookmarkStart w:id="33" w:name="_Toc440032857"/>
      <w:bookmarkEnd w:id="33"/>
      <w:bookmarkStart w:id="34" w:name="_Toc440032846"/>
      <w:bookmarkEnd w:id="34"/>
      <w:bookmarkStart w:id="35" w:name="_Toc440033308"/>
      <w:bookmarkEnd w:id="35"/>
      <w:bookmarkStart w:id="36" w:name="_Toc476322333"/>
      <w:bookmarkEnd w:id="36"/>
      <w:bookmarkStart w:id="37" w:name="_Toc440033327"/>
      <w:bookmarkEnd w:id="37"/>
      <w:bookmarkStart w:id="38" w:name="_Toc440033328"/>
      <w:bookmarkEnd w:id="38"/>
      <w:bookmarkStart w:id="39" w:name="_Toc440039299"/>
      <w:bookmarkEnd w:id="39"/>
      <w:bookmarkStart w:id="40" w:name="_Toc440033316"/>
      <w:bookmarkEnd w:id="40"/>
      <w:bookmarkStart w:id="41" w:name="_Toc440032850"/>
      <w:bookmarkEnd w:id="41"/>
      <w:bookmarkStart w:id="42" w:name="_Toc440039307"/>
      <w:bookmarkEnd w:id="42"/>
      <w:bookmarkStart w:id="43" w:name="_Toc440039300"/>
      <w:bookmarkEnd w:id="43"/>
      <w:bookmarkStart w:id="44" w:name="_Toc440033310"/>
      <w:bookmarkEnd w:id="44"/>
      <w:bookmarkStart w:id="45" w:name="_Toc440032853"/>
      <w:bookmarkEnd w:id="45"/>
      <w:bookmarkStart w:id="46" w:name="_Toc440039296"/>
      <w:bookmarkEnd w:id="46"/>
      <w:bookmarkStart w:id="47" w:name="_Toc440033306"/>
      <w:bookmarkEnd w:id="47"/>
      <w:bookmarkStart w:id="48" w:name="_Toc440039287"/>
      <w:bookmarkEnd w:id="48"/>
      <w:bookmarkStart w:id="49" w:name="_Toc440032839"/>
      <w:bookmarkEnd w:id="49"/>
      <w:bookmarkStart w:id="50" w:name="_Toc440033313"/>
      <w:bookmarkEnd w:id="50"/>
      <w:bookmarkStart w:id="51" w:name="_Toc440039308"/>
      <w:bookmarkEnd w:id="51"/>
      <w:bookmarkStart w:id="52" w:name="_Toc440032845"/>
      <w:bookmarkEnd w:id="52"/>
      <w:bookmarkStart w:id="53" w:name="_Toc440039293"/>
      <w:bookmarkEnd w:id="53"/>
      <w:bookmarkStart w:id="54" w:name="_Toc440033320"/>
      <w:bookmarkEnd w:id="54"/>
      <w:bookmarkStart w:id="55" w:name="_Toc440039302"/>
      <w:bookmarkEnd w:id="55"/>
      <w:bookmarkStart w:id="56" w:name="_Toc440033315"/>
      <w:bookmarkEnd w:id="56"/>
      <w:bookmarkStart w:id="57" w:name="_Toc440033311"/>
      <w:bookmarkEnd w:id="57"/>
      <w:bookmarkStart w:id="58" w:name="_Toc440032840"/>
      <w:bookmarkEnd w:id="58"/>
      <w:bookmarkStart w:id="59" w:name="_Toc440032861"/>
      <w:bookmarkEnd w:id="59"/>
      <w:bookmarkStart w:id="60" w:name="_Toc440039286"/>
      <w:bookmarkEnd w:id="60"/>
      <w:bookmarkStart w:id="61" w:name="_Toc440039290"/>
      <w:bookmarkEnd w:id="61"/>
      <w:bookmarkStart w:id="62" w:name="_Toc440032860"/>
      <w:bookmarkEnd w:id="62"/>
      <w:bookmarkStart w:id="63" w:name="_Toc440032859"/>
      <w:bookmarkEnd w:id="63"/>
      <w:bookmarkStart w:id="64" w:name="_Toc440033319"/>
      <w:bookmarkEnd w:id="64"/>
      <w:bookmarkStart w:id="65" w:name="_Toc476322335"/>
      <w:bookmarkEnd w:id="65"/>
      <w:bookmarkStart w:id="66" w:name="_Toc440032849"/>
      <w:bookmarkEnd w:id="66"/>
      <w:bookmarkStart w:id="67" w:name="_Toc440033312"/>
      <w:bookmarkEnd w:id="67"/>
      <w:bookmarkStart w:id="68" w:name="_Toc440032851"/>
      <w:bookmarkEnd w:id="68"/>
      <w:bookmarkStart w:id="69" w:name="_Toc440033318"/>
      <w:bookmarkEnd w:id="69"/>
      <w:bookmarkStart w:id="70" w:name="_Toc440039294"/>
      <w:bookmarkEnd w:id="70"/>
      <w:bookmarkStart w:id="71" w:name="_Toc440032844"/>
      <w:bookmarkEnd w:id="71"/>
      <w:bookmarkStart w:id="72" w:name="_Toc440039305"/>
      <w:bookmarkEnd w:id="72"/>
      <w:bookmarkStart w:id="73" w:name="_Toc440039301"/>
      <w:bookmarkEnd w:id="73"/>
      <w:bookmarkStart w:id="74" w:name="_Toc440033307"/>
      <w:bookmarkEnd w:id="74"/>
      <w:r>
        <w:rPr>
          <w:rFonts w:hint="eastAsia" w:ascii="仿宋_GB2312" w:eastAsia="仿宋_GB2312" w:cs="Times New Roman"/>
          <w:sz w:val="32"/>
          <w:szCs w:val="32"/>
          <w:lang w:val="en-US" w:eastAsia="zh-CN"/>
        </w:rPr>
        <w:t>，邮箱：1484868578@qq.com</w:t>
      </w:r>
    </w:p>
    <w:p>
      <w:pPr>
        <w:widowControl w:val="0"/>
        <w:snapToGrid w:val="0"/>
        <w:spacing w:beforeLines="0" w:afterLines="0" w:line="560" w:lineRule="exact"/>
        <w:rPr>
          <w:rFonts w:hint="eastAsia" w:ascii="仿宋_GB2312" w:eastAsia="仿宋_GB2312" w:cs="Times New Roman"/>
          <w:sz w:val="32"/>
          <w:szCs w:val="32"/>
          <w:lang w:val="en-US" w:eastAsia="zh-CN"/>
        </w:rPr>
      </w:pPr>
    </w:p>
    <w:p>
      <w:pPr>
        <w:pStyle w:val="2"/>
        <w:spacing w:beforeLines="0" w:afterLines="0"/>
        <w:rPr>
          <w:rFonts w:hint="default"/>
          <w:sz w:val="24"/>
          <w:szCs w:val="24"/>
          <w:lang w:val="en-US" w:eastAsia="zh-CN"/>
        </w:rPr>
      </w:pPr>
    </w:p>
    <w:p>
      <w:pPr>
        <w:widowControl w:val="0"/>
        <w:snapToGrid w:val="0"/>
        <w:spacing w:beforeLines="0" w:afterLines="0" w:line="560" w:lineRule="exact"/>
        <w:ind w:firstLine="640" w:firstLineChars="200"/>
        <w:jc w:val="righ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四川川投新能源有限公司</w:t>
      </w:r>
    </w:p>
    <w:p>
      <w:pPr>
        <w:pStyle w:val="2"/>
        <w:spacing w:beforeLines="0" w:afterLines="0" w:line="560" w:lineRule="exact"/>
        <w:jc w:val="center"/>
        <w:rPr>
          <w:rFonts w:hint="default"/>
          <w:sz w:val="24"/>
          <w:szCs w:val="24"/>
          <w:lang w:val="en-US" w:eastAsia="zh-CN"/>
        </w:rPr>
      </w:pPr>
      <w:r>
        <w:rPr>
          <w:rFonts w:hint="eastAsia" w:ascii="仿宋_GB2312" w:eastAsia="仿宋_GB2312" w:cs="Times New Roman"/>
          <w:sz w:val="32"/>
          <w:szCs w:val="32"/>
          <w:lang w:val="en-US" w:eastAsia="zh-CN"/>
        </w:rPr>
        <w:t xml:space="preserve">                             2024年4月11日</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0AD0B"/>
    <w:multiLevelType w:val="multilevel"/>
    <w:tmpl w:val="0DF0AD0B"/>
    <w:lvl w:ilvl="0" w:tentative="0">
      <w:start w:val="7"/>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46812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semiHidden="0"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uiPriority="0"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0"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unhideWhenUsed/>
    <w:uiPriority w:val="0"/>
    <w:pPr>
      <w:spacing w:beforeLines="0" w:afterLines="0"/>
      <w:jc w:val="both"/>
    </w:pPr>
    <w:rPr>
      <w:rFonts w:hint="eastAsia" w:ascii="Times New Roman" w:hAnsi="Times New Roman" w:eastAsia="Times New Roman"/>
      <w:kern w:val="2"/>
      <w:sz w:val="21"/>
      <w:szCs w:val="24"/>
    </w:rPr>
  </w:style>
  <w:style w:type="character" w:default="1" w:styleId="7">
    <w:name w:val="Default Paragraph Font"/>
    <w:unhideWhenUsed/>
    <w:uiPriority w:val="0"/>
    <w:rPr>
      <w:rFonts w:hint="default"/>
      <w:sz w:val="24"/>
      <w:szCs w:val="24"/>
    </w:rPr>
  </w:style>
  <w:style w:type="table" w:default="1" w:styleId="6">
    <w:name w:val="Normal Table"/>
    <w:qFormat/>
    <w:uiPriority w:val="99"/>
    <w:tblPr>
      <w:tblCellMar>
        <w:top w:w="0" w:type="dxa"/>
        <w:left w:w="108" w:type="dxa"/>
        <w:bottom w:w="0" w:type="dxa"/>
        <w:right w:w="108" w:type="dxa"/>
      </w:tblCellMar>
    </w:tblPr>
  </w:style>
  <w:style w:type="paragraph" w:styleId="2">
    <w:name w:val="Normal Indent"/>
    <w:basedOn w:val="1"/>
    <w:unhideWhenUsed/>
    <w:uiPriority w:val="0"/>
    <w:pPr>
      <w:adjustRightInd w:val="0"/>
      <w:spacing w:beforeLines="0" w:afterLines="0" w:line="315" w:lineRule="atLeast"/>
      <w:ind w:firstLine="420"/>
      <w:textAlignment w:val="baseline"/>
    </w:pPr>
    <w:rPr>
      <w:rFonts w:hint="default" w:ascii="宋体" w:eastAsia="宋体"/>
      <w:kern w:val="0"/>
      <w:sz w:val="24"/>
      <w:szCs w:val="24"/>
    </w:rPr>
  </w:style>
  <w:style w:type="paragraph" w:styleId="3">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4">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szCs w:val="24"/>
    </w:rPr>
  </w:style>
  <w:style w:type="paragraph" w:styleId="5">
    <w:name w:val="Normal (Web)"/>
    <w:basedOn w:val="1"/>
    <w:unhideWhenUsed/>
    <w:uiPriority w:val="99"/>
    <w:pPr>
      <w:spacing w:before="100" w:beforeLines="0" w:beforeAutospacing="1" w:after="100" w:afterLines="0" w:afterAutospacing="1"/>
      <w:jc w:val="left"/>
    </w:pPr>
    <w:rPr>
      <w:rFonts w:hint="eastAsia"/>
      <w:kern w:val="0"/>
      <w:sz w:val="24"/>
      <w:szCs w:val="24"/>
      <w:lang w:val="en-US" w:eastAsia="zh-CN" w:bidi="ar"/>
    </w:rPr>
  </w:style>
  <w:style w:type="character" w:styleId="8">
    <w:name w:val="page number"/>
    <w:basedOn w:val="7"/>
    <w:unhideWhenUsed/>
    <w:uiPriority w:val="0"/>
    <w:rPr>
      <w:rFonts w:hint="default"/>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Office_11.8.6.11829_F1E327BC-269C-435d-A152-05C5408002CA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2024-04-11T09:15:01Z</dcterms:created>
  <dc:creator>haozi</dc:creator>
  <cp:lastModifiedBy>王治皓</cp:lastModifiedBy>
  <dcterms:modified xsi:type="dcterms:W3CDTF">2024-04-11T09:15:37Z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D1FF6C9D98904E48BB4EF25DC8923B62</vt:lpwstr>
  </property>
</Properties>
</file>