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before="260" w:after="260" w:line="360" w:lineRule="auto"/>
        <w:jc w:val="center"/>
        <w:rPr>
          <w:rFonts w:eastAsia="方正小标宋简体"/>
          <w:b w:val="0"/>
          <w:bCs w:val="0"/>
          <w:color w:val="000000"/>
          <w:highlight w:val="none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四川省投资集团有限责任公司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年度工资专项审计服务项目比选公告</w:t>
      </w:r>
    </w:p>
    <w:p>
      <w:pPr>
        <w:pStyle w:val="8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</w:rPr>
        <w:t>四川省投资集团有限责任公司就202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</w:rPr>
        <w:t>年度工资专项审计服务项目组织比选，诚邀符合资格条件的潜在比选申请人参与本项目的比选。</w:t>
      </w:r>
    </w:p>
    <w:p>
      <w:pPr>
        <w:adjustRightInd w:val="0"/>
        <w:snapToGrid w:val="0"/>
        <w:spacing w:line="520" w:lineRule="exact"/>
        <w:ind w:firstLine="594" w:firstLineChars="198"/>
        <w:outlineLvl w:val="1"/>
        <w:rPr>
          <w:rFonts w:ascii="Times New Roman" w:hAnsi="Times New Roman" w:eastAsia="黑体" w:cs="Times New Roman"/>
          <w:bCs/>
          <w:color w:val="000000"/>
          <w:spacing w:val="10"/>
          <w:sz w:val="28"/>
          <w:szCs w:val="28"/>
          <w:highlight w:val="none"/>
        </w:rPr>
      </w:pPr>
      <w:bookmarkStart w:id="0" w:name="_Toc27778"/>
      <w:bookmarkStart w:id="1" w:name="_Toc5357"/>
      <w:bookmarkStart w:id="2" w:name="_Toc13481"/>
      <w:bookmarkStart w:id="3" w:name="_Toc6790"/>
      <w:bookmarkStart w:id="4" w:name="_Toc3419"/>
      <w:bookmarkStart w:id="5" w:name="_Toc28910"/>
      <w:bookmarkStart w:id="6" w:name="_Toc8693"/>
      <w:bookmarkStart w:id="7" w:name="_Toc16799"/>
      <w:bookmarkStart w:id="8" w:name="_Toc28870"/>
      <w:r>
        <w:rPr>
          <w:rFonts w:ascii="Times New Roman" w:hAnsi="Times New Roman" w:eastAsia="黑体" w:cs="Times New Roman"/>
          <w:bCs/>
          <w:color w:val="000000"/>
          <w:spacing w:val="10"/>
          <w:sz w:val="28"/>
          <w:szCs w:val="28"/>
          <w:highlight w:val="none"/>
        </w:rPr>
        <w:t>一、项目概况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1.项目名称：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</w:rPr>
        <w:t>年度工资专项审计服务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Times New Roman" w:hAnsi="Times New Roman" w:eastAsia="仿宋_GB2312" w:cs="Times New Roman"/>
          <w:color w:val="000000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2.工作内容：四川省投资集团有限责任公司202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年度工资专项审计</w:t>
      </w:r>
    </w:p>
    <w:p>
      <w:pPr>
        <w:adjustRightInd w:val="0"/>
        <w:snapToGrid w:val="0"/>
        <w:spacing w:line="520" w:lineRule="exact"/>
        <w:ind w:firstLine="594" w:firstLineChars="198"/>
        <w:outlineLvl w:val="1"/>
        <w:rPr>
          <w:rFonts w:ascii="Times New Roman" w:hAnsi="Times New Roman" w:eastAsia="黑体" w:cs="Times New Roman"/>
          <w:bCs/>
          <w:color w:val="000000"/>
          <w:spacing w:val="10"/>
          <w:sz w:val="28"/>
          <w:szCs w:val="28"/>
          <w:highlight w:val="none"/>
        </w:rPr>
      </w:pPr>
      <w:bookmarkStart w:id="9" w:name="_Toc14495"/>
      <w:bookmarkStart w:id="10" w:name="_Toc4594"/>
      <w:bookmarkStart w:id="11" w:name="_Toc21866"/>
      <w:bookmarkStart w:id="12" w:name="_Toc2020"/>
      <w:bookmarkStart w:id="13" w:name="_Toc18343"/>
      <w:bookmarkStart w:id="14" w:name="_Toc23734"/>
      <w:bookmarkStart w:id="15" w:name="_Toc24741"/>
      <w:bookmarkStart w:id="16" w:name="_Toc28873"/>
      <w:bookmarkStart w:id="17" w:name="_Toc26773"/>
      <w:r>
        <w:rPr>
          <w:rFonts w:ascii="Times New Roman" w:hAnsi="Times New Roman" w:eastAsia="黑体" w:cs="Times New Roman"/>
          <w:bCs/>
          <w:color w:val="000000"/>
          <w:spacing w:val="10"/>
          <w:sz w:val="28"/>
          <w:szCs w:val="28"/>
          <w:highlight w:val="none"/>
        </w:rPr>
        <w:t>二、比选申请人资格要求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  <w:t>1.一般要求：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  <w:t>（1）参选人必须具备由财政主管部门核发的会计师事务所执业证书（需提供证明资料），有工资审计经验（需提供相关合同）；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  <w:t>（2）合法经营、依法执业，遵守法律法规、职业道德和执业准则，有良好社会信誉；四川省注协公布的四川省202</w:t>
      </w:r>
      <w:r>
        <w:rPr>
          <w:rFonts w:hint="eastAsia" w:ascii="仿宋_GB2312" w:hAnsi="仿宋_GB2312" w:eastAsia="仿宋_GB2312" w:cs="仿宋_GB2312"/>
          <w:color w:val="000000"/>
          <w:spacing w:val="1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  <w:t>年会计师事务所综合评级分类为AAAAA；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  <w:t>（3）按规定通过了有关部门的年度检验；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  <w:t>（4）近三年提供的中介服务未因重大执业质量等问题受到省国资委通报；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28"/>
          <w:szCs w:val="28"/>
          <w:highlight w:val="none"/>
        </w:rPr>
        <w:t>（5）具有良好的信誉，近三年来没有受到注册会计师协会处罚；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  <w:t>（6）没有存在过下列情形：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  <w:t>①</w:t>
      </w:r>
      <w:r>
        <w:rPr>
          <w:rFonts w:hint="eastAsia" w:ascii="仿宋_GB2312" w:hAnsi="仿宋_GB2312" w:eastAsia="仿宋_GB2312" w:cs="仿宋_GB2312"/>
          <w:color w:val="000000"/>
          <w:spacing w:val="10"/>
          <w:sz w:val="28"/>
          <w:szCs w:val="28"/>
          <w:highlight w:val="none"/>
          <w:lang w:val="en-US" w:eastAsia="zh-CN"/>
        </w:rPr>
        <w:t>存在</w:t>
      </w:r>
      <w:r>
        <w:rPr>
          <w:rFonts w:hint="eastAsia"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  <w:t>弄虚作假、恶意串通、营私舞弊等严重不诚信行为的；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  <w:t>②分别接受利益相对方委托，就同一事项提供有利益冲突的中介服务的；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  <w:t>③与利益相对方单位负责人为同一人或者存在股权关系、管理关系的；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  <w:t>④出具虚假或重大失实的业务报告的；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  <w:t>⑤违反中介服务合同约定给委托方造成重大损失的。</w:t>
      </w:r>
    </w:p>
    <w:p>
      <w:pPr>
        <w:numPr>
          <w:ilvl w:val="255"/>
          <w:numId w:val="0"/>
        </w:numPr>
        <w:adjustRightInd w:val="0"/>
        <w:snapToGrid w:val="0"/>
        <w:spacing w:line="520" w:lineRule="exact"/>
        <w:ind w:firstLine="600" w:firstLineChars="200"/>
        <w:rPr>
          <w:rFonts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  <w:t>（7）法律、行政法规规定的其他条件。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  <w:t>2.本项目</w:t>
      </w:r>
      <w:r>
        <w:rPr>
          <w:rFonts w:hint="eastAsia" w:ascii="仿宋_GB2312" w:hAnsi="仿宋_GB2312" w:eastAsia="仿宋_GB2312" w:cs="仿宋_GB2312"/>
          <w:color w:val="000000"/>
          <w:spacing w:val="10"/>
          <w:sz w:val="28"/>
          <w:szCs w:val="28"/>
          <w:highlight w:val="none"/>
          <w:u w:val="single"/>
        </w:rPr>
        <w:t>不接受</w:t>
      </w:r>
      <w:r>
        <w:rPr>
          <w:rFonts w:hint="eastAsia"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  <w:t>联合体参加比选。</w:t>
      </w:r>
    </w:p>
    <w:p>
      <w:pPr>
        <w:adjustRightInd w:val="0"/>
        <w:snapToGrid w:val="0"/>
        <w:spacing w:line="520" w:lineRule="exact"/>
        <w:ind w:firstLine="594" w:firstLineChars="198"/>
        <w:outlineLvl w:val="1"/>
        <w:rPr>
          <w:rFonts w:ascii="Times New Roman" w:hAnsi="Times New Roman" w:eastAsia="黑体" w:cs="Times New Roman"/>
          <w:bCs/>
          <w:color w:val="000000"/>
          <w:spacing w:val="10"/>
          <w:sz w:val="28"/>
          <w:szCs w:val="28"/>
          <w:highlight w:val="none"/>
        </w:rPr>
      </w:pPr>
      <w:bookmarkStart w:id="18" w:name="_Toc3128"/>
      <w:bookmarkStart w:id="19" w:name="_Toc25671"/>
      <w:bookmarkStart w:id="20" w:name="_Toc20093"/>
      <w:bookmarkStart w:id="21" w:name="_Toc16005"/>
      <w:bookmarkStart w:id="22" w:name="_Toc15916"/>
      <w:bookmarkStart w:id="23" w:name="_Toc27430"/>
      <w:bookmarkStart w:id="24" w:name="_Toc27745"/>
      <w:bookmarkStart w:id="25" w:name="_Toc22575"/>
      <w:bookmarkStart w:id="26" w:name="_Toc8882"/>
      <w:r>
        <w:rPr>
          <w:rFonts w:ascii="Times New Roman" w:hAnsi="Times New Roman" w:eastAsia="黑体" w:cs="Times New Roman"/>
          <w:bCs/>
          <w:color w:val="000000"/>
          <w:spacing w:val="10"/>
          <w:sz w:val="28"/>
          <w:szCs w:val="28"/>
          <w:highlight w:val="none"/>
        </w:rPr>
        <w:t>三、报名及领取比选文件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报名时应当提交的资料：</w:t>
      </w:r>
    </w:p>
    <w:p>
      <w:pPr>
        <w:snapToGrid w:val="0"/>
        <w:spacing w:line="52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1.审计机构参选报名表；</w:t>
      </w:r>
    </w:p>
    <w:p>
      <w:pPr>
        <w:snapToGrid w:val="0"/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2.注册于中华人民共和国的企业法人营业执照副本复印件（分所报名的可提供总所的营业执照，并由总所出具委托授权书。比选申请人的企业注册地不在四川的，比选申请人提供的业绩证明材料、注册会计师从业人数等资料，必须以四川分所的为准，以总所名义提供的材料无效）；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3.会计师事务所执业证书；</w:t>
      </w:r>
    </w:p>
    <w:p>
      <w:pPr>
        <w:snapToGrid w:val="0"/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4.承诺书。</w:t>
      </w:r>
    </w:p>
    <w:p>
      <w:pPr>
        <w:snapToGrid w:val="0"/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以上材料均应加盖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比选申请人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公章,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比选申请人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应在202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分前提交通过电子邮件方式提供报名材料至</w:t>
      </w:r>
      <w:r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  <w:t>hr_scig</w:t>
      </w:r>
      <w:r>
        <w:rPr>
          <w:rFonts w:hint="eastAsia" w:ascii="楷体" w:hAnsi="楷体" w:eastAsia="楷体" w:cs="楷体"/>
          <w:color w:val="000000"/>
          <w:sz w:val="28"/>
          <w:szCs w:val="28"/>
          <w:highlight w:val="none"/>
        </w:rPr>
        <w:t>@</w:t>
      </w:r>
      <w:r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  <w:t>163.com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，逾期提交作无效报名处理。比选人在确认比选申请人报名成功后发送比选文件，比选申请文件提交的具体要求按选比选文件要求为准。</w:t>
      </w:r>
    </w:p>
    <w:p>
      <w:pPr>
        <w:adjustRightInd w:val="0"/>
        <w:snapToGrid w:val="0"/>
        <w:spacing w:line="520" w:lineRule="exact"/>
        <w:ind w:firstLine="594" w:firstLineChars="198"/>
        <w:outlineLvl w:val="1"/>
        <w:rPr>
          <w:rFonts w:ascii="Times New Roman" w:hAnsi="Times New Roman" w:eastAsia="黑体" w:cs="Times New Roman"/>
          <w:bCs/>
          <w:color w:val="000000"/>
          <w:spacing w:val="10"/>
          <w:sz w:val="28"/>
          <w:szCs w:val="28"/>
          <w:highlight w:val="none"/>
        </w:rPr>
      </w:pPr>
      <w:bookmarkStart w:id="27" w:name="_Toc13700"/>
      <w:bookmarkStart w:id="28" w:name="_Toc13572"/>
      <w:bookmarkStart w:id="29" w:name="_Toc6836"/>
      <w:bookmarkStart w:id="30" w:name="_Toc15299"/>
      <w:bookmarkStart w:id="31" w:name="_Toc25435"/>
      <w:bookmarkStart w:id="32" w:name="_Toc15050"/>
      <w:bookmarkStart w:id="33" w:name="_Toc31638"/>
      <w:bookmarkStart w:id="34" w:name="_Toc6737"/>
      <w:bookmarkStart w:id="35" w:name="_Toc15704"/>
      <w:r>
        <w:rPr>
          <w:rFonts w:ascii="Times New Roman" w:hAnsi="Times New Roman" w:eastAsia="黑体" w:cs="Times New Roman"/>
          <w:bCs/>
          <w:color w:val="000000"/>
          <w:spacing w:val="10"/>
          <w:sz w:val="28"/>
          <w:szCs w:val="28"/>
          <w:highlight w:val="none"/>
        </w:rPr>
        <w:t>四、比选</w:t>
      </w:r>
      <w:r>
        <w:rPr>
          <w:rFonts w:hint="eastAsia" w:ascii="Times New Roman" w:hAnsi="Times New Roman" w:eastAsia="黑体" w:cs="Times New Roman"/>
          <w:bCs/>
          <w:color w:val="000000"/>
          <w:spacing w:val="10"/>
          <w:sz w:val="28"/>
          <w:szCs w:val="28"/>
          <w:highlight w:val="none"/>
        </w:rPr>
        <w:t>申请</w:t>
      </w:r>
      <w:r>
        <w:rPr>
          <w:rFonts w:ascii="Times New Roman" w:hAnsi="Times New Roman" w:eastAsia="黑体" w:cs="Times New Roman"/>
          <w:bCs/>
          <w:color w:val="000000"/>
          <w:spacing w:val="10"/>
          <w:sz w:val="28"/>
          <w:szCs w:val="28"/>
          <w:highlight w:val="none"/>
        </w:rPr>
        <w:t>文件的递交截止时间及递交地点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>
      <w:pPr>
        <w:tabs>
          <w:tab w:val="left" w:pos="2410"/>
        </w:tabs>
        <w:adjustRightInd w:val="0"/>
        <w:snapToGrid w:val="0"/>
        <w:spacing w:line="520" w:lineRule="exact"/>
        <w:ind w:firstLine="600" w:firstLineChars="200"/>
        <w:rPr>
          <w:rFonts w:ascii="仿宋_GB2312" w:hAnsi="仿宋_GB2312" w:eastAsia="仿宋_GB2312" w:cs="仿宋_GB2312"/>
          <w:b/>
          <w:color w:val="000000"/>
          <w:spacing w:val="1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28"/>
          <w:szCs w:val="28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比选申请文件递交的截止时间（比选申请截止时间，下同）为202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日上午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分，地点为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u w:val="single"/>
        </w:rPr>
        <w:t>四川省成都市武侯区临江西路1号川投大厦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u w:val="single"/>
          <w:lang w:val="en-US" w:eastAsia="zh-CN"/>
        </w:rPr>
        <w:t>2215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u w:val="single"/>
        </w:rPr>
        <w:t>会议室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2. 逾期送达或者未送达指定地点的比选申请文件，比选人不予受理。</w:t>
      </w:r>
    </w:p>
    <w:p>
      <w:pPr>
        <w:snapToGrid w:val="0"/>
        <w:spacing w:line="520" w:lineRule="exact"/>
        <w:ind w:firstLine="594" w:firstLineChars="198"/>
        <w:outlineLvl w:val="1"/>
        <w:rPr>
          <w:rFonts w:ascii="Times New Roman" w:hAnsi="Times New Roman" w:eastAsia="黑体" w:cs="Times New Roman"/>
          <w:bCs/>
          <w:color w:val="000000"/>
          <w:spacing w:val="10"/>
          <w:sz w:val="28"/>
          <w:szCs w:val="28"/>
          <w:highlight w:val="none"/>
        </w:rPr>
      </w:pPr>
      <w:bookmarkStart w:id="36" w:name="_Toc6033"/>
      <w:bookmarkStart w:id="37" w:name="_Toc24520"/>
      <w:bookmarkStart w:id="38" w:name="_Toc6450"/>
      <w:bookmarkStart w:id="39" w:name="_Toc3997"/>
      <w:bookmarkStart w:id="40" w:name="_Toc29528"/>
      <w:bookmarkStart w:id="41" w:name="_Toc6757"/>
      <w:r>
        <w:rPr>
          <w:rFonts w:ascii="Times New Roman" w:hAnsi="Times New Roman" w:eastAsia="黑体" w:cs="Times New Roman"/>
          <w:bCs/>
          <w:color w:val="000000"/>
          <w:spacing w:val="10"/>
          <w:sz w:val="28"/>
          <w:szCs w:val="28"/>
          <w:highlight w:val="none"/>
        </w:rPr>
        <w:t>五、</w:t>
      </w:r>
      <w:r>
        <w:rPr>
          <w:rFonts w:hint="eastAsia" w:ascii="Times New Roman" w:hAnsi="Times New Roman" w:eastAsia="黑体" w:cs="Times New Roman"/>
          <w:bCs/>
          <w:color w:val="000000"/>
          <w:spacing w:val="10"/>
          <w:sz w:val="28"/>
          <w:szCs w:val="28"/>
          <w:highlight w:val="none"/>
        </w:rPr>
        <w:t>开选时间及地点</w:t>
      </w:r>
      <w:bookmarkEnd w:id="36"/>
      <w:bookmarkEnd w:id="37"/>
      <w:bookmarkEnd w:id="38"/>
      <w:bookmarkEnd w:id="39"/>
      <w:bookmarkEnd w:id="40"/>
      <w:bookmarkEnd w:id="41"/>
    </w:p>
    <w:p>
      <w:pPr>
        <w:tabs>
          <w:tab w:val="left" w:pos="2410"/>
        </w:tabs>
        <w:adjustRightInd w:val="0"/>
        <w:snapToGrid w:val="0"/>
        <w:spacing w:line="520" w:lineRule="exact"/>
        <w:ind w:firstLine="560" w:firstLineChars="200"/>
        <w:rPr>
          <w:rFonts w:ascii="仿宋_GB2312" w:hAnsi="仿宋_GB2312" w:eastAsia="仿宋_GB2312" w:cs="仿宋_GB2312"/>
          <w:bCs/>
          <w:color w:val="000000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u w:val="single"/>
        </w:rPr>
        <w:t>1.开选时间与比选申请文件递交截止时间为同一时间</w:t>
      </w:r>
    </w:p>
    <w:p>
      <w:pPr>
        <w:tabs>
          <w:tab w:val="left" w:pos="2410"/>
        </w:tabs>
        <w:snapToGrid w:val="0"/>
        <w:spacing w:line="520" w:lineRule="exact"/>
        <w:ind w:firstLine="560" w:firstLineChars="200"/>
        <w:rPr>
          <w:rFonts w:ascii="仿宋_GB2312" w:hAnsi="仿宋_GB2312" w:eastAsia="仿宋_GB2312" w:cs="仿宋_GB2312"/>
          <w:bCs/>
          <w:color w:val="000000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u w:val="single"/>
        </w:rPr>
        <w:t>2.开选地点：四川省成都市武侯区临江西路1号川投大厦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u w:val="single"/>
          <w:lang w:val="en-US" w:eastAsia="zh-CN"/>
        </w:rPr>
        <w:t>2215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highlight w:val="none"/>
          <w:u w:val="single"/>
        </w:rPr>
        <w:t>会议室</w:t>
      </w:r>
    </w:p>
    <w:p>
      <w:pPr>
        <w:adjustRightInd w:val="0"/>
        <w:snapToGrid w:val="0"/>
        <w:spacing w:line="520" w:lineRule="exact"/>
        <w:ind w:firstLine="594" w:firstLineChars="198"/>
        <w:outlineLvl w:val="1"/>
        <w:rPr>
          <w:rFonts w:ascii="Times New Roman" w:hAnsi="Times New Roman" w:eastAsia="黑体" w:cs="Times New Roman"/>
          <w:bCs/>
          <w:color w:val="000000"/>
          <w:spacing w:val="10"/>
          <w:sz w:val="28"/>
          <w:szCs w:val="28"/>
          <w:highlight w:val="none"/>
        </w:rPr>
      </w:pPr>
      <w:bookmarkStart w:id="42" w:name="_Toc5438"/>
      <w:bookmarkStart w:id="43" w:name="_Toc7215"/>
      <w:bookmarkStart w:id="44" w:name="_Toc15694"/>
      <w:bookmarkStart w:id="45" w:name="_Toc29573"/>
      <w:bookmarkStart w:id="46" w:name="_Toc7763"/>
      <w:bookmarkStart w:id="47" w:name="_Toc12519"/>
      <w:bookmarkStart w:id="48" w:name="_Toc26318"/>
      <w:bookmarkStart w:id="49" w:name="_Toc453"/>
      <w:bookmarkStart w:id="50" w:name="_Toc17398"/>
      <w:r>
        <w:rPr>
          <w:rFonts w:hint="eastAsia" w:ascii="Times New Roman" w:hAnsi="Times New Roman" w:eastAsia="黑体" w:cs="Times New Roman"/>
          <w:bCs/>
          <w:color w:val="000000"/>
          <w:spacing w:val="10"/>
          <w:sz w:val="28"/>
          <w:szCs w:val="28"/>
          <w:highlight w:val="none"/>
        </w:rPr>
        <w:t>六</w:t>
      </w:r>
      <w:r>
        <w:rPr>
          <w:rFonts w:ascii="Times New Roman" w:hAnsi="Times New Roman" w:eastAsia="黑体" w:cs="Times New Roman"/>
          <w:bCs/>
          <w:color w:val="000000"/>
          <w:spacing w:val="10"/>
          <w:sz w:val="28"/>
          <w:szCs w:val="28"/>
          <w:highlight w:val="none"/>
        </w:rPr>
        <w:t>、发布公告的媒体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本比选公告在四川省投资集团有限责任公司官网（https://www.invest.com.cn/）上发布。</w:t>
      </w:r>
    </w:p>
    <w:p>
      <w:pPr>
        <w:adjustRightInd w:val="0"/>
        <w:snapToGrid w:val="0"/>
        <w:spacing w:line="520" w:lineRule="exact"/>
        <w:ind w:firstLine="594" w:firstLineChars="198"/>
        <w:outlineLvl w:val="1"/>
        <w:rPr>
          <w:rFonts w:ascii="Times New Roman" w:hAnsi="Times New Roman" w:eastAsia="黑体" w:cs="Times New Roman"/>
          <w:bCs/>
          <w:color w:val="000000"/>
          <w:spacing w:val="10"/>
          <w:sz w:val="28"/>
          <w:szCs w:val="28"/>
          <w:highlight w:val="none"/>
        </w:rPr>
      </w:pPr>
      <w:bookmarkStart w:id="51" w:name="_Toc13175"/>
      <w:bookmarkStart w:id="52" w:name="_Toc27590"/>
      <w:bookmarkStart w:id="53" w:name="_Toc15270"/>
      <w:bookmarkStart w:id="54" w:name="_Toc19750"/>
      <w:bookmarkStart w:id="55" w:name="_Toc21579"/>
      <w:bookmarkStart w:id="56" w:name="_Toc16185"/>
      <w:bookmarkStart w:id="57" w:name="_Toc4962"/>
      <w:bookmarkStart w:id="58" w:name="_Toc1517"/>
      <w:bookmarkStart w:id="59" w:name="_Toc826"/>
      <w:r>
        <w:rPr>
          <w:rFonts w:hint="eastAsia" w:ascii="Times New Roman" w:hAnsi="Times New Roman" w:eastAsia="黑体" w:cs="Times New Roman"/>
          <w:bCs/>
          <w:color w:val="000000"/>
          <w:spacing w:val="10"/>
          <w:sz w:val="28"/>
          <w:szCs w:val="28"/>
          <w:highlight w:val="none"/>
        </w:rPr>
        <w:t>七</w:t>
      </w:r>
      <w:r>
        <w:rPr>
          <w:rFonts w:ascii="Times New Roman" w:hAnsi="Times New Roman" w:eastAsia="黑体" w:cs="Times New Roman"/>
          <w:bCs/>
          <w:color w:val="000000"/>
          <w:spacing w:val="10"/>
          <w:sz w:val="28"/>
          <w:szCs w:val="28"/>
          <w:highlight w:val="none"/>
        </w:rPr>
        <w:t>、联系方式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  <w:t>比选人：四川省投资集团有限责任公司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  <w:t xml:space="preserve">地  址：四川省成都市武侯区临江西路1号1单元  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  <w:t>邮  编： 610041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  <w:t>联系人：海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女士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  <w:t>联系电话：028-86098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824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邮    箱：</w:t>
      </w:r>
      <w:r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  <w:t>hr_scig</w:t>
      </w:r>
      <w:r>
        <w:rPr>
          <w:rFonts w:asciiTheme="minorEastAsia" w:hAnsiTheme="minorEastAsia" w:eastAsiaTheme="minorEastAsia" w:cstheme="minorEastAsia"/>
          <w:color w:val="000000"/>
          <w:sz w:val="28"/>
          <w:szCs w:val="28"/>
          <w:highlight w:val="none"/>
        </w:rPr>
        <w:t>@</w:t>
      </w:r>
      <w:r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  <w:t>163.com</w:t>
      </w:r>
    </w:p>
    <w:p>
      <w:pPr>
        <w:adjustRightInd w:val="0"/>
        <w:snapToGrid w:val="0"/>
        <w:spacing w:line="520" w:lineRule="exact"/>
        <w:ind w:right="600"/>
        <w:jc w:val="righ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</w:pPr>
    </w:p>
    <w:p>
      <w:pPr>
        <w:adjustRightInd w:val="0"/>
        <w:snapToGrid w:val="0"/>
        <w:spacing w:line="520" w:lineRule="exact"/>
        <w:ind w:firstLine="560" w:firstLineChars="200"/>
        <w:jc w:val="righ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4</w:t>
      </w:r>
      <w:r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24</w:t>
      </w:r>
      <w:r>
        <w:rPr>
          <w:rFonts w:ascii="仿宋_GB2312" w:hAnsi="仿宋_GB2312" w:eastAsia="仿宋_GB2312" w:cs="仿宋_GB2312"/>
          <w:color w:val="000000"/>
          <w:sz w:val="28"/>
          <w:szCs w:val="28"/>
          <w:highlight w:val="none"/>
        </w:rPr>
        <w:t>日</w:t>
      </w:r>
    </w:p>
    <w:p>
      <w:pPr>
        <w:spacing w:line="420" w:lineRule="exact"/>
        <w:jc w:val="left"/>
        <w:rPr>
          <w:rFonts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附件1</w:t>
      </w:r>
    </w:p>
    <w:p>
      <w:pPr>
        <w:spacing w:line="420" w:lineRule="exact"/>
        <w:jc w:val="center"/>
        <w:rPr>
          <w:rFonts w:ascii="宋体" w:hAnsi="宋体" w:cs="宋体"/>
          <w:color w:val="333333"/>
          <w:kern w:val="0"/>
          <w:sz w:val="28"/>
          <w:szCs w:val="28"/>
          <w:highlight w:val="none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highlight w:val="none"/>
        </w:rPr>
        <w:t>四川省投资集团有限责任公司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  <w:highlight w:val="none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3</w:t>
      </w:r>
      <w:r>
        <w:rPr>
          <w:rFonts w:ascii="方正小标宋简体" w:hAnsi="方正小标宋简体" w:eastAsia="方正小标宋简体" w:cs="方正小标宋简体"/>
          <w:sz w:val="36"/>
          <w:szCs w:val="36"/>
          <w:highlight w:val="none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工资专项审计项目参选报名表</w:t>
      </w:r>
    </w:p>
    <w:p>
      <w:pPr>
        <w:spacing w:line="420" w:lineRule="exact"/>
        <w:jc w:val="left"/>
        <w:rPr>
          <w:rFonts w:ascii="黑体" w:hAnsi="宋体" w:eastAsia="黑体"/>
          <w:b/>
          <w:sz w:val="28"/>
          <w:szCs w:val="28"/>
          <w:highlight w:val="none"/>
        </w:rPr>
      </w:pPr>
    </w:p>
    <w:tbl>
      <w:tblPr>
        <w:tblStyle w:val="6"/>
        <w:tblW w:w="90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6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比选申请人名称</w:t>
            </w:r>
          </w:p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（加盖公章）</w:t>
            </w:r>
          </w:p>
        </w:tc>
        <w:tc>
          <w:tcPr>
            <w:tcW w:w="6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6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6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6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6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座机：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</w:t>
            </w:r>
          </w:p>
          <w:p>
            <w:pPr>
              <w:adjustRightIn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手机：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</w:t>
            </w:r>
          </w:p>
          <w:p>
            <w:pPr>
              <w:adjustRightIn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报名确认</w:t>
            </w:r>
          </w:p>
        </w:tc>
        <w:tc>
          <w:tcPr>
            <w:tcW w:w="6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公司已收到并知晓贵司比选公告的相关内容。我公司确认将参选贵司关于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  <w:t>年度工资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专项审计项目的比选。我公司将严格按照贵司要求积极准备比选申请材料，按时参加。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法定代表人</w:t>
            </w:r>
          </w:p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（或授权代表）</w:t>
            </w:r>
          </w:p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签字</w:t>
            </w:r>
          </w:p>
        </w:tc>
        <w:tc>
          <w:tcPr>
            <w:tcW w:w="6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bottom"/>
          </w:tcPr>
          <w:p>
            <w:pPr>
              <w:adjustRightInd w:val="0"/>
              <w:spacing w:line="360" w:lineRule="auto"/>
              <w:ind w:firstLine="480" w:firstLineChars="200"/>
              <w:jc w:val="right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备注：若授权代表签字，还需提供授权委托书</w:t>
            </w: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rFonts w:ascii="仿宋_GB2312" w:hAnsi="仿宋_GB2312" w:eastAsia="仿宋_GB2312" w:cs="仿宋_GB2312"/>
          <w:bCs/>
          <w:sz w:val="28"/>
          <w:szCs w:val="28"/>
          <w:highlight w:val="none"/>
        </w:rPr>
      </w:pPr>
      <w:bookmarkStart w:id="60" w:name="_Toc370245291"/>
      <w:bookmarkStart w:id="61" w:name="_Toc370389416"/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br w:type="page"/>
      </w:r>
    </w:p>
    <w:p>
      <w:pPr>
        <w:spacing w:line="420" w:lineRule="exact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bookmarkEnd w:id="60"/>
      <w:bookmarkEnd w:id="61"/>
      <w:r>
        <w:rPr>
          <w:rFonts w:ascii="仿宋_GB2312" w:hAnsi="仿宋_GB2312" w:eastAsia="仿宋_GB2312" w:cs="仿宋_GB2312"/>
          <w:sz w:val="32"/>
          <w:szCs w:val="32"/>
          <w:highlight w:val="none"/>
        </w:rPr>
        <w:t>2</w:t>
      </w:r>
    </w:p>
    <w:p>
      <w:pPr>
        <w:spacing w:line="42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highlight w:val="none"/>
        </w:rPr>
        <w:t>承</w:t>
      </w:r>
      <w:r>
        <w:rPr>
          <w:rFonts w:ascii="方正小标宋简体" w:hAnsi="方正小标宋简体" w:eastAsia="方正小标宋简体" w:cs="方正小标宋简体"/>
          <w:b/>
          <w:sz w:val="36"/>
          <w:szCs w:val="36"/>
          <w:highlight w:val="non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highlight w:val="none"/>
        </w:rPr>
        <w:t>诺</w:t>
      </w:r>
      <w:r>
        <w:rPr>
          <w:rFonts w:ascii="方正小标宋简体" w:hAnsi="方正小标宋简体" w:eastAsia="方正小标宋简体" w:cs="方正小标宋简体"/>
          <w:b/>
          <w:sz w:val="36"/>
          <w:szCs w:val="36"/>
          <w:highlight w:val="non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highlight w:val="none"/>
        </w:rPr>
        <w:t>书（格式）</w:t>
      </w:r>
    </w:p>
    <w:p>
      <w:pPr>
        <w:spacing w:line="420" w:lineRule="exact"/>
        <w:jc w:val="center"/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spacing w:line="420" w:lineRule="exact"/>
        <w:jc w:val="left"/>
        <w:rPr>
          <w:rFonts w:ascii="仿宋_GB2312" w:hAnsi="仿宋_GB2312" w:eastAsia="仿宋_GB2312" w:cs="仿宋_GB2312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四川省投资集团有限责任公司：</w:t>
      </w:r>
    </w:p>
    <w:p>
      <w:pPr>
        <w:spacing w:line="42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本单位自愿参加四川省投资集团有限责任公司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3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>年度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工资专项审计项目比选，愿意按照比选申请文件中或二次谈判孰低的报价完成项目服务，并保证比选申请文件中所提供的相关资料真实、有效、合法。为此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>,本公司承诺如下：</w:t>
      </w:r>
    </w:p>
    <w:p>
      <w:pPr>
        <w:spacing w:line="42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ascii="仿宋_GB2312" w:hAnsi="仿宋_GB2312" w:eastAsia="仿宋_GB2312" w:cs="仿宋_GB2312"/>
          <w:sz w:val="28"/>
          <w:szCs w:val="28"/>
          <w:highlight w:val="none"/>
        </w:rPr>
        <w:t>1.同意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比选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>文件中的有关规定。</w:t>
      </w:r>
    </w:p>
    <w:p>
      <w:pPr>
        <w:spacing w:line="42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ascii="仿宋_GB2312" w:hAnsi="仿宋_GB2312" w:eastAsia="仿宋_GB2312" w:cs="仿宋_GB2312"/>
          <w:sz w:val="28"/>
          <w:szCs w:val="28"/>
          <w:highlight w:val="none"/>
        </w:rPr>
        <w:t>2.同意提供按照贵方要求的与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比选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>有关的一切数据、情况和资料等。</w:t>
      </w:r>
    </w:p>
    <w:p>
      <w:pPr>
        <w:spacing w:line="42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ascii="仿宋_GB2312" w:hAnsi="仿宋_GB2312" w:eastAsia="仿宋_GB2312" w:cs="仿宋_GB2312"/>
          <w:sz w:val="28"/>
          <w:szCs w:val="28"/>
          <w:highlight w:val="none"/>
        </w:rPr>
        <w:t>3.本单位如中选，保证按照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比选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>文件的承诺与贵方签订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业务合同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>。</w:t>
      </w:r>
    </w:p>
    <w:p>
      <w:pPr>
        <w:spacing w:line="42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ascii="仿宋_GB2312" w:hAnsi="仿宋_GB2312" w:eastAsia="仿宋_GB2312" w:cs="仿宋_GB2312"/>
          <w:sz w:val="28"/>
          <w:szCs w:val="28"/>
          <w:highlight w:val="none"/>
        </w:rPr>
        <w:t>4.无论本单位中选或者落选，均保证不向任何第三方泄露本次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比选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>的相关信息，不向任何第三方披露获得的或收到的任何文件资料及非公开信息。</w:t>
      </w:r>
    </w:p>
    <w:p>
      <w:pPr>
        <w:spacing w:line="42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ascii="仿宋_GB2312" w:hAnsi="仿宋_GB2312" w:eastAsia="仿宋_GB2312" w:cs="仿宋_GB2312"/>
          <w:sz w:val="28"/>
          <w:szCs w:val="28"/>
          <w:highlight w:val="none"/>
        </w:rPr>
        <w:t>5.本单位参与本次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比选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>，保证不存在以下情形：</w:t>
      </w:r>
    </w:p>
    <w:p>
      <w:pPr>
        <w:spacing w:line="42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（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>1）提供虚假材料谋取中选；</w:t>
      </w:r>
    </w:p>
    <w:p>
      <w:pPr>
        <w:spacing w:line="42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（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>2）采取不正当手段诋毁、排挤其他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比选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>申请人；</w:t>
      </w:r>
    </w:p>
    <w:p>
      <w:pPr>
        <w:spacing w:line="42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（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>3）与其它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比选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>申请人恶意串通；</w:t>
      </w:r>
    </w:p>
    <w:p>
      <w:pPr>
        <w:spacing w:line="42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（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>4）向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比选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>人行贿或者提供其他不正当利益；</w:t>
      </w:r>
    </w:p>
    <w:p>
      <w:pPr>
        <w:spacing w:line="42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（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>5）拒绝有关部门监督检查或提供虚假情况；</w:t>
      </w:r>
    </w:p>
    <w:p>
      <w:pPr>
        <w:spacing w:line="42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（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>6）有其他违规行为。</w:t>
      </w:r>
    </w:p>
    <w:p>
      <w:pPr>
        <w:spacing w:line="42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  <w:highlight w:val="none"/>
        </w:rPr>
      </w:pPr>
    </w:p>
    <w:p>
      <w:pPr>
        <w:pStyle w:val="8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420" w:lineRule="exact"/>
        <w:ind w:right="-817" w:rightChars="-389" w:firstLine="2520" w:firstLineChars="9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比选申请人名称（盖章）：</w:t>
      </w:r>
    </w:p>
    <w:p>
      <w:pPr>
        <w:spacing w:line="420" w:lineRule="exact"/>
        <w:ind w:right="-817" w:rightChars="-389" w:firstLine="2520" w:firstLineChars="9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法定代表人或授权委托人（签字或盖章）：</w:t>
      </w:r>
    </w:p>
    <w:p>
      <w:pPr>
        <w:pStyle w:val="2"/>
        <w:jc w:val="right"/>
      </w:pPr>
      <w:bookmarkStart w:id="62" w:name="_GoBack"/>
      <w:bookmarkEnd w:id="62"/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年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月</w:t>
      </w:r>
      <w:r>
        <w:rPr>
          <w:rFonts w:ascii="仿宋_GB2312" w:hAnsi="仿宋_GB2312" w:eastAsia="仿宋_GB2312" w:cs="仿宋_GB2312"/>
          <w:sz w:val="28"/>
          <w:szCs w:val="28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ZDZkODcwYmI4MThkNzA0MDgxNjI5OWMzMjhlZTMifQ=="/>
  </w:docVars>
  <w:rsids>
    <w:rsidRoot w:val="4D401A34"/>
    <w:rsid w:val="02757B17"/>
    <w:rsid w:val="4D401A34"/>
    <w:rsid w:val="6F80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autoRedefine/>
    <w:qFormat/>
    <w:uiPriority w:val="0"/>
    <w:pPr>
      <w:ind w:left="630" w:hanging="630" w:hangingChars="300"/>
    </w:pPr>
    <w:rPr>
      <w:rFonts w:ascii="Times New Roman" w:hAnsi="Times New Roman" w:cs="Times New Roman"/>
      <w:kern w:val="0"/>
      <w:sz w:val="20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2024-01-24T06:03:00Z</dcterms:created>
  <dc:creator>王慧</dc:creator>
  <cp:lastModifiedBy>王慧</cp:lastModifiedBy>
  <dcterms:modified xsi:type="dcterms:W3CDTF">2024-01-24T06:13:34Z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3622D56EBFBE4DF5BA7D98F46733598B_11</vt:lpwstr>
  </property>
</Properties>
</file>