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240" w:after="120"/>
        <w:rPr>
          <w:rFonts w:hint="eastAsia" w:ascii="宋体" w:hAnsi="宋体" w:eastAsia="宋体" w:cs="宋体"/>
          <w:b/>
          <w:bCs w:val="0"/>
          <w:kern w:val="0"/>
          <w:sz w:val="28"/>
          <w:szCs w:val="28"/>
        </w:rPr>
      </w:pPr>
      <w:bookmarkStart w:id="0" w:name="_Toc23999"/>
      <w:bookmarkStart w:id="1" w:name="_Toc3906295"/>
      <w:bookmarkStart w:id="2" w:name="_Toc3905801"/>
      <w:bookmarkStart w:id="3" w:name="_Toc3905677"/>
      <w:bookmarkStart w:id="4" w:name="_Toc22098"/>
      <w:r>
        <w:rPr>
          <w:rFonts w:hint="eastAsia" w:ascii="宋体" w:hAnsi="宋体" w:eastAsia="宋体" w:cs="宋体"/>
          <w:b/>
          <w:bCs w:val="0"/>
          <w:kern w:val="0"/>
          <w:sz w:val="28"/>
          <w:szCs w:val="28"/>
        </w:rPr>
        <w:t>四川省投资集团有限责任公司国资国企在线监管平台试点项目</w:t>
      </w:r>
    </w:p>
    <w:p>
      <w:pPr>
        <w:pStyle w:val="7"/>
        <w:spacing w:before="240" w:after="120"/>
        <w:rPr>
          <w:rFonts w:ascii="宋体" w:hAnsi="宋体" w:eastAsia="宋体" w:cs="宋体"/>
          <w:b/>
          <w:bCs w:val="0"/>
          <w:kern w:val="0"/>
          <w:sz w:val="28"/>
          <w:szCs w:val="28"/>
        </w:rPr>
      </w:pPr>
      <w:r>
        <w:rPr>
          <w:rFonts w:hint="eastAsia" w:ascii="宋体" w:hAnsi="宋体" w:eastAsia="宋体" w:cs="宋体"/>
          <w:b/>
          <w:bCs w:val="0"/>
          <w:kern w:val="0"/>
          <w:sz w:val="28"/>
          <w:szCs w:val="28"/>
        </w:rPr>
        <w:t>招标公告</w:t>
      </w:r>
      <w:bookmarkEnd w:id="0"/>
      <w:bookmarkEnd w:id="1"/>
      <w:bookmarkEnd w:id="2"/>
      <w:bookmarkEnd w:id="3"/>
      <w:bookmarkEnd w:id="4"/>
    </w:p>
    <w:p>
      <w:pPr>
        <w:adjustRightInd w:val="0"/>
        <w:snapToGrid w:val="0"/>
        <w:spacing w:line="440" w:lineRule="exact"/>
        <w:ind w:firstLine="420" w:firstLineChars="200"/>
        <w:rPr>
          <w:rFonts w:ascii="宋体" w:hAnsi="宋体"/>
          <w:szCs w:val="21"/>
        </w:rPr>
      </w:pPr>
      <w:r>
        <w:rPr>
          <w:rFonts w:hint="eastAsia" w:ascii="宋体" w:hAnsi="宋体"/>
          <w:szCs w:val="21"/>
        </w:rPr>
        <w:t>本招标项目为</w:t>
      </w:r>
      <w:r>
        <w:rPr>
          <w:rFonts w:hint="eastAsia" w:ascii="宋体" w:hAnsi="宋体"/>
          <w:u w:val="single"/>
        </w:rPr>
        <w:t>四川省投资集团有限责任公司国资国企在线监管平台试点项目</w:t>
      </w:r>
      <w:r>
        <w:rPr>
          <w:rFonts w:hint="eastAsia" w:ascii="宋体" w:hAnsi="宋体"/>
          <w:szCs w:val="21"/>
        </w:rPr>
        <w:t>，</w:t>
      </w:r>
      <w:r>
        <w:rPr>
          <w:rFonts w:hint="eastAsia" w:ascii="宋体" w:hAnsi="宋体"/>
          <w:szCs w:val="21"/>
          <w:u w:val="single"/>
        </w:rPr>
        <w:t>（招标编号：</w:t>
      </w:r>
      <w:r>
        <w:rPr>
          <w:rFonts w:hint="eastAsia" w:ascii="宋体" w:hAnsi="宋体"/>
          <w:u w:val="single"/>
        </w:rPr>
        <w:t>SCIG-BGSXXH-2021-007</w:t>
      </w:r>
      <w:r>
        <w:rPr>
          <w:rFonts w:hint="eastAsia" w:ascii="宋体" w:hAnsi="宋体"/>
          <w:szCs w:val="21"/>
          <w:u w:val="single"/>
        </w:rPr>
        <w:t>）</w:t>
      </w:r>
      <w:r>
        <w:rPr>
          <w:rFonts w:hint="eastAsia" w:ascii="宋体" w:hAnsi="宋体"/>
          <w:szCs w:val="21"/>
        </w:rPr>
        <w:t>，招标人为</w:t>
      </w:r>
      <w:r>
        <w:rPr>
          <w:rFonts w:hint="eastAsia"/>
          <w:u w:val="single"/>
        </w:rPr>
        <w:t>四川省投资集团有限责任公司</w:t>
      </w:r>
      <w:r>
        <w:rPr>
          <w:rFonts w:hint="eastAsia" w:ascii="宋体" w:hAnsi="宋体"/>
          <w:szCs w:val="21"/>
        </w:rPr>
        <w:t>。项目资金由</w:t>
      </w:r>
      <w:r>
        <w:rPr>
          <w:rFonts w:hint="eastAsia" w:ascii="宋体" w:hAnsi="宋体"/>
          <w:szCs w:val="21"/>
          <w:u w:val="single"/>
        </w:rPr>
        <w:t>招标人自筹</w:t>
      </w:r>
      <w:r>
        <w:rPr>
          <w:rFonts w:hint="eastAsia" w:ascii="宋体" w:hAnsi="宋体"/>
          <w:szCs w:val="21"/>
        </w:rPr>
        <w:t>，资金已落实。项目已具备招标条件，现进行公开招标，特邀请有意向的且具有提供标的物能力的潜在投标人（以下简称投标人）参加投标。</w:t>
      </w:r>
    </w:p>
    <w:p>
      <w:pPr>
        <w:pStyle w:val="8"/>
        <w:numPr>
          <w:ilvl w:val="0"/>
          <w:numId w:val="1"/>
        </w:numPr>
        <w:adjustRightInd w:val="0"/>
        <w:snapToGrid w:val="0"/>
        <w:spacing w:line="440" w:lineRule="exact"/>
        <w:ind w:firstLineChars="0"/>
        <w:rPr>
          <w:rFonts w:ascii="宋体" w:hAnsi="宋体"/>
          <w:b/>
          <w:szCs w:val="21"/>
        </w:rPr>
      </w:pPr>
      <w:r>
        <w:rPr>
          <w:rFonts w:hint="eastAsia" w:ascii="宋体" w:hAnsi="宋体"/>
          <w:b/>
          <w:szCs w:val="21"/>
        </w:rPr>
        <w:t>项目概况与招标内容</w:t>
      </w:r>
    </w:p>
    <w:p>
      <w:pPr>
        <w:pStyle w:val="8"/>
        <w:numPr>
          <w:ilvl w:val="1"/>
          <w:numId w:val="1"/>
        </w:numPr>
        <w:adjustRightInd w:val="0"/>
        <w:snapToGrid w:val="0"/>
        <w:spacing w:line="440" w:lineRule="exact"/>
        <w:ind w:left="0" w:firstLine="0" w:firstLineChars="0"/>
        <w:rPr>
          <w:rFonts w:ascii="宋体" w:hAnsi="宋体"/>
          <w:szCs w:val="21"/>
        </w:rPr>
      </w:pPr>
      <w:r>
        <w:rPr>
          <w:rFonts w:hint="eastAsia" w:ascii="宋体" w:hAnsi="宋体"/>
          <w:szCs w:val="21"/>
        </w:rPr>
        <w:t>项目概况</w:t>
      </w:r>
    </w:p>
    <w:p>
      <w:pPr>
        <w:adjustRightInd w:val="0"/>
        <w:snapToGrid w:val="0"/>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国务院、国务院国资委对国有资产管理体制改革及国资监管相关工作要求，四川省国资委制定了《四川省国资国企在线监管平台建设工作方案》，要求省属国有企业围绕建成“大平台、大数据、大系统”的目标，重点推进建设“三重一大”、党的建设、人财物、投资、生产经营、合规管理、风险控制等信息系统，形成覆盖集团全部组织层级的全面管控。工作方案同时要求省属国企在2021年要全面建成企业自身数据中心，实现国资监管数据与省国资国企在线监管平台的全部对接、共享、交换。</w:t>
      </w:r>
    </w:p>
    <w:p>
      <w:pPr>
        <w:adjustRightInd w:val="0"/>
        <w:snapToGrid w:val="0"/>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需围绕川投集团现状特点，建设符合国资监管要求、提升集团管控能力的四川省投资集团有限责任公司国资国企在线监管平台试点项目。本项目建设单位为四川省投资集团有限责任公司，项目建设完成后的系统管理使用部门为川投集团各相关单位。</w:t>
      </w:r>
    </w:p>
    <w:p>
      <w:pPr>
        <w:pStyle w:val="8"/>
        <w:numPr>
          <w:ilvl w:val="1"/>
          <w:numId w:val="1"/>
        </w:numPr>
        <w:adjustRightInd w:val="0"/>
        <w:snapToGrid w:val="0"/>
        <w:spacing w:line="440" w:lineRule="exact"/>
        <w:ind w:left="0" w:firstLine="0" w:firstLineChars="0"/>
        <w:rPr>
          <w:rFonts w:ascii="宋体" w:hAnsi="宋体"/>
          <w:szCs w:val="21"/>
        </w:rPr>
      </w:pPr>
      <w:r>
        <w:rPr>
          <w:rFonts w:hint="eastAsia" w:ascii="宋体" w:hAnsi="宋体"/>
          <w:szCs w:val="21"/>
        </w:rPr>
        <w:t>招标内容</w:t>
      </w:r>
    </w:p>
    <w:p>
      <w:pPr>
        <w:pStyle w:val="9"/>
        <w:adjustRightInd w:val="0"/>
        <w:snapToGrid w:val="0"/>
        <w:spacing w:line="440" w:lineRule="exact"/>
      </w:pPr>
      <w:r>
        <w:rPr>
          <w:rFonts w:hint="eastAsia"/>
        </w:rPr>
        <w:t>四川省投资集团有限责任公司国资国企在线监管平台试点项目建设应符合《四川省国资国企在线监管平台建设工作方案》、《四川省国资国企在线监管平台建设指引》、《国资监管业务数据指标库》等文件要求。平台应至少建设数据采集交换平台、“三重一大”决策和运行监管系统、企业组织机构基本信息管理系统、投资管理信息系统、合规管理信息系统</w:t>
      </w:r>
      <w:r>
        <w:rPr>
          <w:rFonts w:hint="eastAsia" w:asciiTheme="minorEastAsia" w:hAnsiTheme="minorEastAsia" w:eastAsiaTheme="minorEastAsia"/>
          <w:szCs w:val="21"/>
        </w:rPr>
        <w:t>，</w:t>
      </w:r>
      <w:r>
        <w:rPr>
          <w:rFonts w:hint="eastAsia"/>
        </w:rPr>
        <w:t>并实现与省国资委国资监管平台对接并按要求上报数据。</w:t>
      </w:r>
    </w:p>
    <w:p>
      <w:pPr>
        <w:pStyle w:val="8"/>
        <w:numPr>
          <w:ilvl w:val="1"/>
          <w:numId w:val="1"/>
        </w:numPr>
        <w:adjustRightInd w:val="0"/>
        <w:snapToGrid w:val="0"/>
        <w:spacing w:line="440" w:lineRule="exact"/>
        <w:ind w:left="0" w:firstLine="0" w:firstLineChars="0"/>
      </w:pPr>
      <w:r>
        <w:rPr>
          <w:rFonts w:hint="eastAsia" w:ascii="宋体" w:hAnsi="宋体"/>
          <w:szCs w:val="21"/>
        </w:rPr>
        <w:t>本项目不划分标包。中标人数量：1人。</w:t>
      </w:r>
    </w:p>
    <w:p>
      <w:pPr>
        <w:pStyle w:val="8"/>
        <w:numPr>
          <w:ilvl w:val="1"/>
          <w:numId w:val="1"/>
        </w:numPr>
        <w:adjustRightInd w:val="0"/>
        <w:snapToGrid w:val="0"/>
        <w:spacing w:line="440" w:lineRule="exact"/>
        <w:ind w:left="0" w:firstLine="0" w:firstLineChars="0"/>
        <w:rPr>
          <w:rFonts w:ascii="宋体" w:hAnsi="宋体"/>
          <w:b/>
          <w:bCs/>
          <w:szCs w:val="21"/>
        </w:rPr>
      </w:pPr>
      <w:bookmarkStart w:id="5" w:name="_Toc319394714"/>
      <w:bookmarkStart w:id="6" w:name="_Toc319769473"/>
      <w:bookmarkStart w:id="7" w:name="_Toc184704555"/>
      <w:r>
        <w:rPr>
          <w:rFonts w:hint="eastAsia" w:ascii="宋体" w:hAnsi="宋体"/>
          <w:b/>
          <w:bCs/>
          <w:szCs w:val="21"/>
        </w:rPr>
        <w:t>★本项目设置最高投标限价，最高投标限价为</w:t>
      </w:r>
      <w:r>
        <w:rPr>
          <w:rFonts w:ascii="宋体" w:hAnsi="宋体"/>
          <w:b/>
          <w:bCs/>
          <w:szCs w:val="21"/>
        </w:rPr>
        <w:t>180</w:t>
      </w:r>
      <w:r>
        <w:rPr>
          <w:rFonts w:hint="eastAsia" w:ascii="宋体" w:hAnsi="宋体"/>
          <w:b/>
          <w:bCs/>
          <w:szCs w:val="21"/>
        </w:rPr>
        <w:t>万元人民币（含税），投标人投标报价高于最高投标限价的，其投标将被否决。★</w:t>
      </w:r>
    </w:p>
    <w:p>
      <w:pPr>
        <w:pStyle w:val="8"/>
        <w:numPr>
          <w:ilvl w:val="0"/>
          <w:numId w:val="1"/>
        </w:numPr>
        <w:adjustRightInd w:val="0"/>
        <w:snapToGrid w:val="0"/>
        <w:spacing w:line="440" w:lineRule="exact"/>
        <w:ind w:firstLineChars="0"/>
        <w:rPr>
          <w:rFonts w:ascii="宋体" w:hAnsi="宋体"/>
          <w:b/>
          <w:szCs w:val="21"/>
        </w:rPr>
      </w:pPr>
      <w:r>
        <w:rPr>
          <w:rFonts w:hint="eastAsia" w:ascii="宋体" w:hAnsi="宋体"/>
          <w:b/>
          <w:szCs w:val="21"/>
        </w:rPr>
        <w:t>投标人资格要求</w:t>
      </w:r>
      <w:bookmarkEnd w:id="5"/>
      <w:bookmarkEnd w:id="6"/>
      <w:bookmarkEnd w:id="7"/>
    </w:p>
    <w:p>
      <w:pPr>
        <w:pStyle w:val="8"/>
        <w:numPr>
          <w:ilvl w:val="1"/>
          <w:numId w:val="1"/>
        </w:numPr>
        <w:adjustRightInd w:val="0"/>
        <w:snapToGrid w:val="0"/>
        <w:spacing w:line="440" w:lineRule="exact"/>
        <w:ind w:left="0" w:firstLine="0" w:firstLineChars="0"/>
        <w:rPr>
          <w:rFonts w:ascii="宋体" w:hAnsi="宋体"/>
          <w:b/>
          <w:bCs/>
          <w:szCs w:val="21"/>
        </w:rPr>
      </w:pPr>
      <w:bookmarkStart w:id="8" w:name="_Toc319769474"/>
      <w:bookmarkStart w:id="9" w:name="_Toc319394715"/>
      <w:bookmarkStart w:id="10" w:name="_Toc184704556"/>
      <w:r>
        <w:rPr>
          <w:rFonts w:hint="eastAsia" w:ascii="宋体" w:hAnsi="宋体"/>
          <w:b/>
          <w:bCs/>
          <w:szCs w:val="21"/>
        </w:rPr>
        <w:t>★投标人基本资格要求★</w:t>
      </w:r>
    </w:p>
    <w:p>
      <w:pPr>
        <w:numPr>
          <w:ilvl w:val="2"/>
          <w:numId w:val="1"/>
        </w:numPr>
        <w:spacing w:line="440" w:lineRule="exact"/>
        <w:ind w:left="420" w:firstLine="426"/>
        <w:rPr>
          <w:rFonts w:ascii="宋体" w:hAnsi="宋体"/>
          <w:b/>
          <w:bCs/>
          <w:szCs w:val="21"/>
        </w:rPr>
      </w:pPr>
      <w:r>
        <w:rPr>
          <w:rFonts w:hint="eastAsia" w:ascii="宋体" w:hAnsi="宋体"/>
          <w:b/>
          <w:bCs/>
          <w:szCs w:val="21"/>
        </w:rPr>
        <w:t>★在中华人民共和国境内有效注册并具有独立法人资格的企业，具备承担本次项目建设实施能力，须提供营业执照复印件并加盖公章。★</w:t>
      </w:r>
    </w:p>
    <w:p>
      <w:pPr>
        <w:numPr>
          <w:ilvl w:val="2"/>
          <w:numId w:val="1"/>
        </w:numPr>
        <w:spacing w:line="440" w:lineRule="exact"/>
        <w:ind w:left="420" w:firstLine="426"/>
        <w:rPr>
          <w:rFonts w:ascii="宋体" w:hAnsi="宋体"/>
          <w:b/>
          <w:bCs/>
          <w:szCs w:val="21"/>
        </w:rPr>
      </w:pPr>
      <w:r>
        <w:rPr>
          <w:rFonts w:hint="eastAsia" w:ascii="宋体" w:hAnsi="宋体"/>
          <w:b/>
          <w:bCs/>
          <w:szCs w:val="21"/>
        </w:rPr>
        <w:t>★投标人财务状况良好，无连续亏损或资不抵债等情况，具备保证招标事项在执行期间能够正常提供或履行的财务能力，须</w:t>
      </w:r>
      <w:r>
        <w:rPr>
          <w:rFonts w:hint="eastAsia" w:asciiTheme="minorEastAsia" w:hAnsiTheme="minorEastAsia" w:eastAsiaTheme="minorEastAsia"/>
          <w:b/>
          <w:color w:val="000000" w:themeColor="text1"/>
          <w:szCs w:val="21"/>
          <w14:textFill>
            <w14:solidFill>
              <w14:schemeClr w14:val="tx1"/>
            </w14:solidFill>
          </w14:textFill>
        </w:rPr>
        <w:t>提供通过会计师事务所审计的201</w:t>
      </w:r>
      <w:r>
        <w:rPr>
          <w:rFonts w:asciiTheme="minorEastAsia" w:hAnsiTheme="minorEastAsia" w:eastAsiaTheme="minorEastAsia"/>
          <w:b/>
          <w:color w:val="000000" w:themeColor="text1"/>
          <w:szCs w:val="21"/>
          <w14:textFill>
            <w14:solidFill>
              <w14:schemeClr w14:val="tx1"/>
            </w14:solidFill>
          </w14:textFill>
        </w:rPr>
        <w:t>9</w:t>
      </w:r>
      <w:r>
        <w:rPr>
          <w:rFonts w:hint="eastAsia" w:asciiTheme="minorEastAsia" w:hAnsiTheme="minorEastAsia" w:eastAsiaTheme="minorEastAsia"/>
          <w:b/>
          <w:color w:val="000000" w:themeColor="text1"/>
          <w:szCs w:val="21"/>
          <w14:textFill>
            <w14:solidFill>
              <w14:schemeClr w14:val="tx1"/>
            </w14:solidFill>
          </w14:textFill>
        </w:rPr>
        <w:t>年至202</w:t>
      </w:r>
      <w:r>
        <w:rPr>
          <w:rFonts w:asciiTheme="minorEastAsia" w:hAnsiTheme="minorEastAsia" w:eastAsiaTheme="minorEastAsia"/>
          <w:b/>
          <w:color w:val="000000" w:themeColor="text1"/>
          <w:szCs w:val="21"/>
          <w14:textFill>
            <w14:solidFill>
              <w14:schemeClr w14:val="tx1"/>
            </w14:solidFill>
          </w14:textFill>
        </w:rPr>
        <w:t>1</w:t>
      </w:r>
      <w:r>
        <w:rPr>
          <w:rFonts w:hint="eastAsia" w:asciiTheme="minorEastAsia" w:hAnsiTheme="minorEastAsia" w:eastAsiaTheme="minorEastAsia"/>
          <w:b/>
          <w:color w:val="000000" w:themeColor="text1"/>
          <w:szCs w:val="21"/>
          <w14:textFill>
            <w14:solidFill>
              <w14:schemeClr w14:val="tx1"/>
            </w14:solidFill>
          </w14:textFill>
        </w:rPr>
        <w:t>年度任意连续两年财务报表复印件并加盖公章</w:t>
      </w:r>
      <w:r>
        <w:rPr>
          <w:rFonts w:hint="eastAsia" w:ascii="宋体" w:hAnsi="宋体"/>
          <w:b/>
          <w:bCs/>
          <w:szCs w:val="21"/>
        </w:rPr>
        <w:t>。★</w:t>
      </w:r>
    </w:p>
    <w:p>
      <w:pPr>
        <w:numPr>
          <w:ilvl w:val="2"/>
          <w:numId w:val="1"/>
        </w:numPr>
        <w:spacing w:line="440" w:lineRule="exact"/>
        <w:ind w:left="420" w:firstLine="426"/>
        <w:rPr>
          <w:rFonts w:ascii="宋体" w:hAnsi="宋体"/>
          <w:b/>
          <w:bCs/>
          <w:szCs w:val="21"/>
        </w:rPr>
      </w:pPr>
      <w:r>
        <w:rPr>
          <w:rFonts w:hint="eastAsia" w:ascii="宋体" w:hAnsi="宋体"/>
          <w:b/>
          <w:bCs/>
          <w:szCs w:val="21"/>
        </w:rPr>
        <w:t>★投标人的法定代表人或负责人为同一人或者存在控股、管理关系的不同投标人，不得参加同一标包投标或者未划分标包的同一招标项目投标。★</w:t>
      </w:r>
    </w:p>
    <w:p>
      <w:pPr>
        <w:numPr>
          <w:ilvl w:val="2"/>
          <w:numId w:val="1"/>
        </w:numPr>
        <w:spacing w:line="440" w:lineRule="exact"/>
        <w:ind w:left="420" w:firstLine="426"/>
        <w:rPr>
          <w:rFonts w:ascii="宋体" w:hAnsi="宋体"/>
          <w:b/>
          <w:bCs/>
          <w:szCs w:val="21"/>
        </w:rPr>
      </w:pPr>
      <w:r>
        <w:rPr>
          <w:rFonts w:hint="eastAsia" w:ascii="宋体" w:hAnsi="宋体"/>
          <w:b/>
          <w:bCs/>
          <w:szCs w:val="21"/>
        </w:rPr>
        <w:t>★本次招标不接受联合体投标。★</w:t>
      </w:r>
      <w:bookmarkEnd w:id="8"/>
      <w:bookmarkEnd w:id="9"/>
      <w:bookmarkEnd w:id="10"/>
    </w:p>
    <w:p>
      <w:pPr>
        <w:numPr>
          <w:ilvl w:val="1"/>
          <w:numId w:val="1"/>
        </w:numPr>
        <w:spacing w:line="440" w:lineRule="exact"/>
        <w:ind w:left="0" w:firstLine="426"/>
        <w:rPr>
          <w:rFonts w:ascii="宋体" w:hAnsi="宋体"/>
          <w:b/>
          <w:szCs w:val="21"/>
        </w:rPr>
      </w:pPr>
      <w:r>
        <w:rPr>
          <w:rFonts w:hint="eastAsia" w:ascii="宋体" w:hAnsi="宋体"/>
          <w:b/>
          <w:szCs w:val="21"/>
        </w:rPr>
        <w:t>★投标人不得存在下列情形之一★，提供</w:t>
      </w:r>
      <w:r>
        <w:rPr>
          <w:rFonts w:hint="eastAsia"/>
          <w:b/>
          <w:szCs w:val="21"/>
        </w:rPr>
        <w:t>加盖公章的</w:t>
      </w:r>
      <w:r>
        <w:rPr>
          <w:rFonts w:hint="eastAsia" w:ascii="宋体" w:hAnsi="宋体"/>
          <w:b/>
          <w:szCs w:val="21"/>
        </w:rPr>
        <w:t>承诺书</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★为招标人不具有独立法人资格的附属机构（单位）；★</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★被责令停业或破产状态的；★</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★被暂停或取消投标资格的；★</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★财产被接管、查封、扣押或冻结的；★</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★在最近三年内骗取中标情形的；★</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★在最近三年内因严重违反合同约定被解除合同</w:t>
      </w:r>
      <w:r>
        <w:rPr>
          <w:rFonts w:ascii="宋体" w:hAnsi="宋体"/>
          <w:b/>
          <w:szCs w:val="21"/>
        </w:rPr>
        <w:t>/协议，或取消供应商资格的；</w:t>
      </w:r>
      <w:r>
        <w:rPr>
          <w:rFonts w:hint="eastAsia" w:ascii="宋体" w:hAnsi="宋体"/>
          <w:b/>
          <w:szCs w:val="21"/>
        </w:rPr>
        <w:t>★</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★在最近五年内，存在与采购活动相关的行贿犯罪记录的（以中国裁判文书网为准）；★</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★在与四川省投资集团有限责任公司合作过程中出现过重大问题且尚未妥善解决的；★</w:t>
      </w:r>
    </w:p>
    <w:p>
      <w:pPr>
        <w:numPr>
          <w:ilvl w:val="0"/>
          <w:numId w:val="2"/>
        </w:numPr>
        <w:tabs>
          <w:tab w:val="left" w:pos="0"/>
          <w:tab w:val="left" w:pos="993"/>
          <w:tab w:val="clear" w:pos="1142"/>
        </w:tabs>
        <w:spacing w:line="440" w:lineRule="exact"/>
        <w:ind w:left="0" w:firstLine="422"/>
        <w:rPr>
          <w:rFonts w:ascii="宋体" w:hAnsi="宋体"/>
          <w:b/>
          <w:szCs w:val="21"/>
        </w:rPr>
      </w:pPr>
      <w:r>
        <w:rPr>
          <w:rFonts w:hint="eastAsia" w:ascii="宋体" w:hAnsi="宋体"/>
          <w:b/>
          <w:szCs w:val="21"/>
        </w:rPr>
        <w:t>★相关产品在四川省投资集团有限责任公司出现过重大质量或安全问题且未妥善解决的；★</w:t>
      </w:r>
    </w:p>
    <w:p>
      <w:pPr>
        <w:pStyle w:val="9"/>
        <w:numPr>
          <w:ilvl w:val="0"/>
          <w:numId w:val="1"/>
        </w:numPr>
        <w:adjustRightInd w:val="0"/>
        <w:snapToGrid w:val="0"/>
        <w:spacing w:line="440" w:lineRule="exact"/>
        <w:ind w:firstLineChars="0"/>
        <w:rPr>
          <w:rFonts w:ascii="宋体" w:hAnsi="宋体"/>
          <w:b/>
          <w:szCs w:val="21"/>
        </w:rPr>
      </w:pPr>
      <w:r>
        <w:rPr>
          <w:rFonts w:hint="eastAsia" w:ascii="宋体" w:hAnsi="宋体"/>
          <w:b/>
          <w:szCs w:val="21"/>
        </w:rPr>
        <w:t>资格审查方法</w:t>
      </w:r>
    </w:p>
    <w:p>
      <w:pPr>
        <w:pStyle w:val="9"/>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本项目将进行资格后审，资格审查标准和内容见招标文件第三章“评标办法”，凡未通过资格后审的投标人，其投标将被否决。</w:t>
      </w:r>
    </w:p>
    <w:p>
      <w:pPr>
        <w:pStyle w:val="9"/>
        <w:numPr>
          <w:ilvl w:val="0"/>
          <w:numId w:val="1"/>
        </w:numPr>
        <w:adjustRightInd w:val="0"/>
        <w:snapToGrid w:val="0"/>
        <w:spacing w:line="440" w:lineRule="exact"/>
        <w:ind w:firstLineChars="0"/>
        <w:rPr>
          <w:rFonts w:ascii="宋体" w:hAnsi="宋体"/>
          <w:b/>
          <w:szCs w:val="21"/>
        </w:rPr>
      </w:pPr>
      <w:r>
        <w:rPr>
          <w:rFonts w:hint="eastAsia" w:ascii="宋体" w:hAnsi="宋体"/>
          <w:b/>
          <w:szCs w:val="21"/>
        </w:rPr>
        <w:t>纸质招标文件获取</w:t>
      </w:r>
    </w:p>
    <w:p>
      <w:pPr>
        <w:numPr>
          <w:ilvl w:val="1"/>
          <w:numId w:val="1"/>
        </w:numPr>
        <w:spacing w:line="440" w:lineRule="exact"/>
        <w:ind w:left="0" w:firstLine="426"/>
        <w:rPr>
          <w:rFonts w:ascii="宋体" w:hAnsi="宋体"/>
          <w:spacing w:val="2"/>
          <w:szCs w:val="21"/>
        </w:rPr>
      </w:pPr>
      <w:r>
        <w:rPr>
          <w:rFonts w:hint="eastAsia" w:ascii="宋体" w:hAnsi="宋体"/>
          <w:spacing w:val="2"/>
          <w:szCs w:val="21"/>
        </w:rPr>
        <w:t>招标文件获取时间：</w:t>
      </w:r>
      <w:r>
        <w:rPr>
          <w:rFonts w:hint="eastAsia" w:ascii="宋体" w:hAnsi="宋体"/>
          <w:color w:val="000000" w:themeColor="text1"/>
          <w14:textFill>
            <w14:solidFill>
              <w14:schemeClr w14:val="tx1"/>
            </w14:solidFill>
          </w14:textFill>
        </w:rPr>
        <w:t>2021年9月1</w:t>
      </w:r>
      <w:r>
        <w:rPr>
          <w:rFonts w:hint="eastAsia" w:ascii="宋体" w:hAnsi="宋体"/>
          <w:color w:val="000000" w:themeColor="text1"/>
          <w:lang w:val="en-US" w:eastAsia="zh-CN"/>
          <w14:textFill>
            <w14:solidFill>
              <w14:schemeClr w14:val="tx1"/>
            </w14:solidFill>
          </w14:textFill>
        </w:rPr>
        <w:t>4</w:t>
      </w:r>
      <w:r>
        <w:rPr>
          <w:rFonts w:hint="eastAsia" w:ascii="宋体" w:hAnsi="宋体"/>
          <w:color w:val="000000" w:themeColor="text1"/>
          <w14:textFill>
            <w14:solidFill>
              <w14:schemeClr w14:val="tx1"/>
            </w14:solidFill>
          </w14:textFill>
        </w:rPr>
        <w:t>日至2021年9月2</w:t>
      </w:r>
      <w:r>
        <w:rPr>
          <w:rFonts w:hint="eastAsia" w:ascii="宋体" w:hAnsi="宋体"/>
          <w:color w:val="000000" w:themeColor="text1"/>
          <w:lang w:val="en-US" w:eastAsia="zh-CN"/>
          <w14:textFill>
            <w14:solidFill>
              <w14:schemeClr w14:val="tx1"/>
            </w14:solidFill>
          </w14:textFill>
        </w:rPr>
        <w:t>4</w:t>
      </w:r>
      <w:r>
        <w:rPr>
          <w:rFonts w:hint="eastAsia" w:ascii="宋体" w:hAnsi="宋体"/>
          <w:color w:val="000000" w:themeColor="text1"/>
          <w14:textFill>
            <w14:solidFill>
              <w14:schemeClr w14:val="tx1"/>
            </w14:solidFill>
          </w14:textFill>
        </w:rPr>
        <w:t>日</w:t>
      </w:r>
      <w:r>
        <w:rPr>
          <w:rFonts w:hint="eastAsia" w:ascii="宋体" w:hAnsi="宋体"/>
        </w:rPr>
        <w:t>（法定公休日、法定节假日除外），每日上午9时30分至12时00分，下午14时00分至17时00分（北京时间，下同）。</w:t>
      </w:r>
      <w:bookmarkStart w:id="11" w:name="_GoBack"/>
      <w:bookmarkEnd w:id="11"/>
    </w:p>
    <w:p>
      <w:pPr>
        <w:numPr>
          <w:ilvl w:val="1"/>
          <w:numId w:val="1"/>
        </w:numPr>
        <w:spacing w:line="440" w:lineRule="exact"/>
        <w:ind w:left="0" w:firstLine="426"/>
        <w:rPr>
          <w:rFonts w:ascii="宋体" w:hAnsi="宋体"/>
          <w:spacing w:val="2"/>
          <w:szCs w:val="21"/>
        </w:rPr>
      </w:pPr>
      <w:r>
        <w:rPr>
          <w:rFonts w:hint="eastAsia" w:ascii="宋体" w:hAnsi="宋体"/>
          <w:spacing w:val="2"/>
          <w:szCs w:val="21"/>
        </w:rPr>
        <w:t>招标文件获取地点：</w:t>
      </w:r>
      <w:r>
        <w:rPr>
          <w:rFonts w:hint="eastAsia" w:ascii="宋体" w:hAnsi="宋体"/>
          <w:szCs w:val="21"/>
        </w:rPr>
        <w:t>成都市</w:t>
      </w:r>
      <w:r>
        <w:rPr>
          <w:rFonts w:hint="eastAsia" w:ascii="宋体" w:hAnsi="宋体"/>
          <w:spacing w:val="2"/>
          <w:szCs w:val="21"/>
        </w:rPr>
        <w:t>武侯区临江西路一号一单元川投大厦1810室</w:t>
      </w:r>
    </w:p>
    <w:p>
      <w:pPr>
        <w:numPr>
          <w:ilvl w:val="1"/>
          <w:numId w:val="1"/>
        </w:numPr>
        <w:spacing w:line="440" w:lineRule="exact"/>
        <w:ind w:left="0" w:firstLine="426"/>
        <w:rPr>
          <w:rFonts w:ascii="宋体" w:hAnsi="宋体"/>
          <w:spacing w:val="2"/>
          <w:szCs w:val="21"/>
        </w:rPr>
      </w:pPr>
      <w:r>
        <w:rPr>
          <w:rFonts w:hint="eastAsia" w:ascii="宋体" w:hAnsi="宋体"/>
          <w:spacing w:val="2"/>
          <w:szCs w:val="21"/>
        </w:rPr>
        <w:t>招标文件获取方式：在持下列证件（证明、证书）领取招标文件：</w:t>
      </w:r>
    </w:p>
    <w:p>
      <w:pPr>
        <w:numPr>
          <w:ilvl w:val="0"/>
          <w:numId w:val="3"/>
        </w:numPr>
        <w:tabs>
          <w:tab w:val="left" w:pos="993"/>
          <w:tab w:val="clear" w:pos="1142"/>
        </w:tabs>
        <w:adjustRightInd w:val="0"/>
        <w:snapToGrid w:val="0"/>
        <w:spacing w:before="60" w:after="60" w:line="360" w:lineRule="exact"/>
        <w:ind w:left="0" w:firstLine="422"/>
        <w:rPr>
          <w:rFonts w:ascii="宋体" w:hAnsi="宋体"/>
          <w:szCs w:val="21"/>
        </w:rPr>
      </w:pPr>
      <w:r>
        <w:rPr>
          <w:rFonts w:hint="eastAsia" w:ascii="宋体" w:hAnsi="宋体"/>
          <w:szCs w:val="21"/>
        </w:rPr>
        <w:t>单位介绍信或营业执照复印件并加盖公章；</w:t>
      </w:r>
    </w:p>
    <w:p>
      <w:pPr>
        <w:numPr>
          <w:ilvl w:val="0"/>
          <w:numId w:val="3"/>
        </w:numPr>
        <w:tabs>
          <w:tab w:val="left" w:pos="993"/>
          <w:tab w:val="clear" w:pos="1142"/>
        </w:tabs>
        <w:adjustRightInd w:val="0"/>
        <w:snapToGrid w:val="0"/>
        <w:spacing w:before="60" w:after="60" w:line="360" w:lineRule="exact"/>
        <w:ind w:left="0" w:firstLine="422"/>
        <w:rPr>
          <w:rFonts w:ascii="宋体" w:hAnsi="宋体"/>
          <w:szCs w:val="21"/>
        </w:rPr>
      </w:pPr>
      <w:r>
        <w:rPr>
          <w:rFonts w:hint="eastAsia" w:ascii="宋体" w:hAnsi="宋体"/>
          <w:szCs w:val="21"/>
        </w:rPr>
        <w:t>经办人身份证复印件并加盖公章；</w:t>
      </w:r>
    </w:p>
    <w:p>
      <w:pPr>
        <w:pStyle w:val="8"/>
        <w:numPr>
          <w:ilvl w:val="0"/>
          <w:numId w:val="1"/>
        </w:numPr>
        <w:adjustRightInd w:val="0"/>
        <w:snapToGrid w:val="0"/>
        <w:spacing w:line="440" w:lineRule="exact"/>
        <w:ind w:firstLineChars="0"/>
        <w:rPr>
          <w:rFonts w:ascii="宋体" w:hAnsi="宋体"/>
          <w:b/>
          <w:szCs w:val="21"/>
        </w:rPr>
      </w:pPr>
      <w:r>
        <w:rPr>
          <w:rFonts w:hint="eastAsia" w:ascii="宋体" w:hAnsi="宋体"/>
          <w:b/>
          <w:szCs w:val="21"/>
        </w:rPr>
        <w:t>投标文件的递交</w:t>
      </w:r>
    </w:p>
    <w:p>
      <w:pPr>
        <w:pStyle w:val="9"/>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纸质投标文件</w:t>
      </w:r>
      <w:r>
        <w:rPr>
          <w:rFonts w:hint="eastAsia" w:ascii="宋体" w:hAnsi="宋体"/>
        </w:rPr>
        <w:t>递交截止时间</w:t>
      </w:r>
      <w:r>
        <w:rPr>
          <w:rFonts w:hint="eastAsia" w:ascii="宋体" w:hAnsi="宋体"/>
          <w:szCs w:val="21"/>
        </w:rPr>
        <w:t>（即投标截止时间）为：</w:t>
      </w:r>
      <w:r>
        <w:rPr>
          <w:rFonts w:hint="eastAsia" w:ascii="宋体" w:hAnsi="宋体"/>
        </w:rPr>
        <w:t>2021年10月</w:t>
      </w:r>
      <w:r>
        <w:rPr>
          <w:rFonts w:hint="eastAsia" w:ascii="宋体" w:hAnsi="宋体"/>
          <w:lang w:val="en-US" w:eastAsia="zh-CN"/>
        </w:rPr>
        <w:t>9</w:t>
      </w:r>
      <w:r>
        <w:rPr>
          <w:rFonts w:hint="eastAsia" w:ascii="宋体" w:hAnsi="宋体"/>
        </w:rPr>
        <w:t>日14时00分。（暂定）</w:t>
      </w:r>
    </w:p>
    <w:p>
      <w:pPr>
        <w:pStyle w:val="9"/>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投标文件递交地点：成都市武侯区临江西路一号一单元川投大厦1811室</w:t>
      </w:r>
      <w:r>
        <w:rPr>
          <w:rFonts w:hint="eastAsia" w:ascii="宋体" w:hAnsi="宋体"/>
        </w:rPr>
        <w:t>。</w:t>
      </w:r>
    </w:p>
    <w:p>
      <w:pPr>
        <w:pStyle w:val="9"/>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本项目将于上述同一时间、地点进行开标，</w:t>
      </w:r>
      <w:r>
        <w:rPr>
          <w:rFonts w:hint="eastAsia" w:ascii="宋体" w:hAnsi="宋体"/>
          <w:spacing w:val="2"/>
          <w:szCs w:val="21"/>
        </w:rPr>
        <w:t>招标人</w:t>
      </w:r>
      <w:r>
        <w:rPr>
          <w:rFonts w:hint="eastAsia" w:ascii="宋体" w:hAnsi="宋体"/>
          <w:szCs w:val="21"/>
        </w:rPr>
        <w:t>邀请投标人的法定代表人或者其委托代理人准时参加。</w:t>
      </w:r>
    </w:p>
    <w:p>
      <w:pPr>
        <w:pStyle w:val="9"/>
        <w:numPr>
          <w:ilvl w:val="1"/>
          <w:numId w:val="1"/>
        </w:numPr>
        <w:adjustRightInd w:val="0"/>
        <w:snapToGrid w:val="0"/>
        <w:spacing w:line="440" w:lineRule="exact"/>
        <w:ind w:firstLineChars="0"/>
        <w:rPr>
          <w:rFonts w:ascii="宋体" w:hAnsi="宋体"/>
          <w:szCs w:val="21"/>
        </w:rPr>
      </w:pPr>
      <w:r>
        <w:rPr>
          <w:rFonts w:hint="eastAsia" w:ascii="宋体" w:hAnsi="宋体"/>
          <w:szCs w:val="21"/>
        </w:rPr>
        <w:t>出现以下情形之一时，</w:t>
      </w:r>
      <w:r>
        <w:rPr>
          <w:rFonts w:hint="eastAsia" w:ascii="宋体" w:hAnsi="宋体"/>
          <w:spacing w:val="2"/>
          <w:szCs w:val="21"/>
        </w:rPr>
        <w:t>招标人</w:t>
      </w:r>
      <w:r>
        <w:rPr>
          <w:rFonts w:hint="eastAsia" w:ascii="宋体" w:hAnsi="宋体"/>
          <w:szCs w:val="21"/>
        </w:rPr>
        <w:t>不予接收投标文件：</w:t>
      </w:r>
    </w:p>
    <w:p>
      <w:pPr>
        <w:pStyle w:val="9"/>
        <w:numPr>
          <w:ilvl w:val="2"/>
          <w:numId w:val="1"/>
        </w:numPr>
        <w:tabs>
          <w:tab w:val="left" w:pos="1134"/>
        </w:tabs>
        <w:adjustRightInd w:val="0"/>
        <w:snapToGrid w:val="0"/>
        <w:spacing w:line="440" w:lineRule="exact"/>
        <w:ind w:left="0" w:firstLine="425" w:firstLineChars="199"/>
        <w:rPr>
          <w:rFonts w:ascii="宋体" w:hAnsi="宋体"/>
          <w:spacing w:val="2"/>
          <w:szCs w:val="21"/>
        </w:rPr>
      </w:pPr>
      <w:r>
        <w:rPr>
          <w:rFonts w:hint="eastAsia" w:ascii="宋体" w:hAnsi="宋体"/>
          <w:spacing w:val="2"/>
          <w:szCs w:val="21"/>
        </w:rPr>
        <w:t>逾期送达或者未送达指定地点的；</w:t>
      </w:r>
    </w:p>
    <w:p>
      <w:pPr>
        <w:pStyle w:val="9"/>
        <w:numPr>
          <w:ilvl w:val="2"/>
          <w:numId w:val="1"/>
        </w:numPr>
        <w:tabs>
          <w:tab w:val="left" w:pos="1134"/>
        </w:tabs>
        <w:adjustRightInd w:val="0"/>
        <w:snapToGrid w:val="0"/>
        <w:spacing w:line="440" w:lineRule="exact"/>
        <w:ind w:left="0" w:firstLine="425" w:firstLineChars="199"/>
        <w:rPr>
          <w:rFonts w:ascii="宋体" w:hAnsi="宋体"/>
          <w:spacing w:val="2"/>
          <w:szCs w:val="21"/>
        </w:rPr>
      </w:pPr>
      <w:r>
        <w:rPr>
          <w:rFonts w:hint="eastAsia" w:ascii="宋体" w:hAnsi="宋体"/>
          <w:spacing w:val="2"/>
          <w:szCs w:val="21"/>
        </w:rPr>
        <w:t>未按照招标文件要求密封的；</w:t>
      </w:r>
    </w:p>
    <w:p>
      <w:pPr>
        <w:pStyle w:val="9"/>
        <w:numPr>
          <w:ilvl w:val="2"/>
          <w:numId w:val="1"/>
        </w:numPr>
        <w:tabs>
          <w:tab w:val="left" w:pos="1134"/>
        </w:tabs>
        <w:adjustRightInd w:val="0"/>
        <w:snapToGrid w:val="0"/>
        <w:spacing w:line="440" w:lineRule="exact"/>
        <w:ind w:left="0" w:firstLine="425" w:firstLineChars="199"/>
        <w:rPr>
          <w:rFonts w:ascii="宋体" w:hAnsi="宋体"/>
          <w:spacing w:val="2"/>
          <w:szCs w:val="21"/>
        </w:rPr>
      </w:pPr>
      <w:r>
        <w:rPr>
          <w:rFonts w:hint="eastAsia" w:ascii="宋体" w:hAnsi="宋体"/>
          <w:spacing w:val="2"/>
          <w:szCs w:val="21"/>
        </w:rPr>
        <w:t>未按照本公告要求获得本项目招标文件的。</w:t>
      </w:r>
    </w:p>
    <w:p>
      <w:pPr>
        <w:pStyle w:val="8"/>
        <w:numPr>
          <w:ilvl w:val="0"/>
          <w:numId w:val="1"/>
        </w:numPr>
        <w:adjustRightInd w:val="0"/>
        <w:snapToGrid w:val="0"/>
        <w:spacing w:line="440" w:lineRule="exact"/>
        <w:ind w:firstLineChars="0"/>
        <w:rPr>
          <w:rFonts w:ascii="宋体" w:hAnsi="宋体"/>
          <w:b/>
          <w:szCs w:val="21"/>
        </w:rPr>
      </w:pPr>
      <w:r>
        <w:rPr>
          <w:rFonts w:hint="eastAsia" w:ascii="宋体" w:hAnsi="宋体"/>
          <w:b/>
          <w:szCs w:val="21"/>
        </w:rPr>
        <w:t>发布公告的媒介</w:t>
      </w:r>
    </w:p>
    <w:p>
      <w:pPr>
        <w:pStyle w:val="9"/>
        <w:adjustRightInd w:val="0"/>
        <w:snapToGrid w:val="0"/>
        <w:spacing w:line="440" w:lineRule="exact"/>
        <w:rPr>
          <w:rFonts w:ascii="宋体" w:hAnsi="宋体"/>
          <w:szCs w:val="21"/>
        </w:rPr>
      </w:pPr>
      <w:r>
        <w:rPr>
          <w:rFonts w:hint="eastAsia" w:ascii="宋体" w:hAnsi="宋体"/>
          <w:szCs w:val="21"/>
        </w:rPr>
        <w:t>本招标公告</w:t>
      </w:r>
      <w:r>
        <w:rPr>
          <w:rFonts w:hint="eastAsia" w:ascii="宋体" w:hAnsi="宋体"/>
        </w:rPr>
        <w:t>仅在</w:t>
      </w:r>
      <w:r>
        <w:rPr>
          <w:rFonts w:hint="eastAsia" w:ascii="宋体" w:hAnsi="宋体"/>
          <w:szCs w:val="21"/>
        </w:rPr>
        <w:t>四川省投资集团有限责任公司官方网站</w:t>
      </w:r>
      <w:r>
        <w:rPr>
          <w:rFonts w:hint="eastAsia" w:ascii="宋体" w:hAnsi="宋体"/>
        </w:rPr>
        <w:t>（</w:t>
      </w:r>
      <w:r>
        <w:rPr>
          <w:rFonts w:ascii="宋体" w:hAnsi="宋体"/>
          <w:szCs w:val="21"/>
        </w:rPr>
        <w:t>http</w:t>
      </w:r>
      <w:r>
        <w:rPr>
          <w:rFonts w:hint="eastAsia" w:ascii="宋体" w:hAnsi="宋体"/>
          <w:szCs w:val="21"/>
        </w:rPr>
        <w:t>s</w:t>
      </w:r>
      <w:r>
        <w:rPr>
          <w:rFonts w:ascii="宋体" w:hAnsi="宋体"/>
          <w:szCs w:val="21"/>
        </w:rPr>
        <w:t>://www.</w:t>
      </w:r>
      <w:r>
        <w:rPr>
          <w:rFonts w:hint="eastAsia" w:ascii="宋体" w:hAnsi="宋体"/>
          <w:szCs w:val="21"/>
        </w:rPr>
        <w:t>invest</w:t>
      </w:r>
      <w:r>
        <w:rPr>
          <w:rFonts w:ascii="宋体" w:hAnsi="宋体"/>
          <w:szCs w:val="21"/>
        </w:rPr>
        <w:t>.com</w:t>
      </w:r>
      <w:r>
        <w:rPr>
          <w:rFonts w:hint="eastAsia" w:ascii="宋体" w:hAnsi="宋体"/>
          <w:szCs w:val="21"/>
        </w:rPr>
        <w:t>.cn</w:t>
      </w:r>
      <w:r>
        <w:rPr>
          <w:rFonts w:ascii="宋体" w:hAnsi="宋体"/>
          <w:szCs w:val="21"/>
        </w:rPr>
        <w:t>/</w:t>
      </w:r>
      <w:r>
        <w:rPr>
          <w:rFonts w:hint="eastAsia" w:ascii="宋体" w:hAnsi="宋体"/>
        </w:rPr>
        <w:t>）</w:t>
      </w:r>
      <w:r>
        <w:rPr>
          <w:rFonts w:hint="eastAsia" w:ascii="宋体" w:hAnsi="宋体"/>
          <w:szCs w:val="21"/>
        </w:rPr>
        <w:t>上发布，其他媒介转载无效。</w:t>
      </w:r>
    </w:p>
    <w:p>
      <w:pPr>
        <w:pStyle w:val="8"/>
        <w:numPr>
          <w:ilvl w:val="0"/>
          <w:numId w:val="1"/>
        </w:numPr>
        <w:adjustRightInd w:val="0"/>
        <w:snapToGrid w:val="0"/>
        <w:spacing w:line="440" w:lineRule="exact"/>
        <w:ind w:firstLineChars="0"/>
        <w:rPr>
          <w:rFonts w:ascii="宋体" w:hAnsi="宋体"/>
          <w:b/>
          <w:szCs w:val="21"/>
        </w:rPr>
      </w:pPr>
      <w:r>
        <w:rPr>
          <w:rFonts w:hint="eastAsia" w:ascii="宋体" w:hAnsi="宋体"/>
          <w:b/>
          <w:szCs w:val="21"/>
        </w:rPr>
        <w:t>联系方式</w:t>
      </w:r>
    </w:p>
    <w:tbl>
      <w:tblPr>
        <w:tblStyle w:val="5"/>
        <w:tblW w:w="7328" w:type="dxa"/>
        <w:tblInd w:w="0" w:type="dxa"/>
        <w:tblLayout w:type="fixed"/>
        <w:tblCellMar>
          <w:top w:w="0" w:type="dxa"/>
          <w:left w:w="108" w:type="dxa"/>
          <w:bottom w:w="0" w:type="dxa"/>
          <w:right w:w="108" w:type="dxa"/>
        </w:tblCellMar>
      </w:tblPr>
      <w:tblGrid>
        <w:gridCol w:w="1242"/>
        <w:gridCol w:w="6086"/>
      </w:tblGrid>
      <w:tr>
        <w:tblPrEx>
          <w:tblCellMar>
            <w:top w:w="0" w:type="dxa"/>
            <w:left w:w="108" w:type="dxa"/>
            <w:bottom w:w="0" w:type="dxa"/>
            <w:right w:w="108" w:type="dxa"/>
          </w:tblCellMar>
        </w:tblPrEx>
        <w:tc>
          <w:tcPr>
            <w:tcW w:w="1242" w:type="dxa"/>
            <w:shd w:val="clear" w:color="auto" w:fill="auto"/>
          </w:tcPr>
          <w:p>
            <w:pPr>
              <w:spacing w:line="400" w:lineRule="exact"/>
              <w:rPr>
                <w:rFonts w:ascii="宋体" w:hAnsi="宋体"/>
              </w:rPr>
            </w:pPr>
            <w:r>
              <w:rPr>
                <w:rFonts w:hint="eastAsia" w:ascii="宋体" w:hAnsi="宋体"/>
              </w:rPr>
              <w:t>招 标 人：</w:t>
            </w:r>
          </w:p>
        </w:tc>
        <w:tc>
          <w:tcPr>
            <w:tcW w:w="6086" w:type="dxa"/>
            <w:shd w:val="clear" w:color="auto" w:fill="auto"/>
          </w:tcPr>
          <w:p>
            <w:pPr>
              <w:spacing w:line="400" w:lineRule="exact"/>
              <w:rPr>
                <w:rFonts w:ascii="宋体" w:hAnsi="宋体"/>
              </w:rPr>
            </w:pPr>
            <w:r>
              <w:rPr>
                <w:rFonts w:hint="eastAsia" w:ascii="宋体" w:hAnsi="宋体"/>
              </w:rPr>
              <w:t>四川省投资集团有限责任公司</w:t>
            </w:r>
          </w:p>
        </w:tc>
      </w:tr>
      <w:tr>
        <w:tblPrEx>
          <w:tblCellMar>
            <w:top w:w="0" w:type="dxa"/>
            <w:left w:w="108" w:type="dxa"/>
            <w:bottom w:w="0" w:type="dxa"/>
            <w:right w:w="108" w:type="dxa"/>
          </w:tblCellMar>
        </w:tblPrEx>
        <w:tc>
          <w:tcPr>
            <w:tcW w:w="1242" w:type="dxa"/>
            <w:shd w:val="clear" w:color="auto" w:fill="auto"/>
          </w:tcPr>
          <w:p>
            <w:pPr>
              <w:spacing w:line="400" w:lineRule="exact"/>
              <w:rPr>
                <w:rFonts w:ascii="宋体" w:hAnsi="宋体"/>
              </w:rPr>
            </w:pPr>
            <w:r>
              <w:rPr>
                <w:rFonts w:hint="eastAsia"/>
              </w:rPr>
              <w:t>地    址：</w:t>
            </w:r>
          </w:p>
        </w:tc>
        <w:tc>
          <w:tcPr>
            <w:tcW w:w="6086" w:type="dxa"/>
            <w:shd w:val="clear" w:color="auto" w:fill="auto"/>
          </w:tcPr>
          <w:p>
            <w:pPr>
              <w:spacing w:line="400" w:lineRule="exact"/>
              <w:rPr>
                <w:rFonts w:ascii="宋体" w:hAnsi="宋体"/>
              </w:rPr>
            </w:pPr>
            <w:r>
              <w:rPr>
                <w:rFonts w:hint="eastAsia" w:ascii="宋体" w:hAnsi="宋体"/>
              </w:rPr>
              <w:t>成都市武侯区临江西路一号1810室</w:t>
            </w:r>
          </w:p>
        </w:tc>
      </w:tr>
      <w:tr>
        <w:tblPrEx>
          <w:tblCellMar>
            <w:top w:w="0" w:type="dxa"/>
            <w:left w:w="108" w:type="dxa"/>
            <w:bottom w:w="0" w:type="dxa"/>
            <w:right w:w="108" w:type="dxa"/>
          </w:tblCellMar>
        </w:tblPrEx>
        <w:tc>
          <w:tcPr>
            <w:tcW w:w="1242" w:type="dxa"/>
            <w:shd w:val="clear" w:color="auto" w:fill="auto"/>
          </w:tcPr>
          <w:p>
            <w:pPr>
              <w:spacing w:line="400" w:lineRule="exact"/>
              <w:rPr>
                <w:rFonts w:ascii="宋体" w:hAnsi="宋体"/>
              </w:rPr>
            </w:pPr>
            <w:r>
              <w:rPr>
                <w:rFonts w:hint="eastAsia"/>
              </w:rPr>
              <w:t>邮    编：</w:t>
            </w:r>
          </w:p>
        </w:tc>
        <w:tc>
          <w:tcPr>
            <w:tcW w:w="6086" w:type="dxa"/>
            <w:shd w:val="clear" w:color="auto" w:fill="auto"/>
          </w:tcPr>
          <w:p>
            <w:pPr>
              <w:spacing w:line="400" w:lineRule="exact"/>
              <w:rPr>
                <w:rFonts w:ascii="宋体" w:hAnsi="宋体"/>
              </w:rPr>
            </w:pPr>
            <w:r>
              <w:rPr>
                <w:rFonts w:hint="eastAsia" w:ascii="宋体" w:hAnsi="宋体"/>
              </w:rPr>
              <w:t>/</w:t>
            </w:r>
          </w:p>
        </w:tc>
      </w:tr>
      <w:tr>
        <w:tblPrEx>
          <w:tblCellMar>
            <w:top w:w="0" w:type="dxa"/>
            <w:left w:w="108" w:type="dxa"/>
            <w:bottom w:w="0" w:type="dxa"/>
            <w:right w:w="108" w:type="dxa"/>
          </w:tblCellMar>
        </w:tblPrEx>
        <w:tc>
          <w:tcPr>
            <w:tcW w:w="1242" w:type="dxa"/>
            <w:shd w:val="clear" w:color="auto" w:fill="auto"/>
          </w:tcPr>
          <w:p>
            <w:pPr>
              <w:spacing w:line="400" w:lineRule="exact"/>
              <w:rPr>
                <w:rFonts w:ascii="宋体" w:hAnsi="宋体"/>
              </w:rPr>
            </w:pPr>
            <w:r>
              <w:rPr>
                <w:rFonts w:hint="eastAsia"/>
              </w:rPr>
              <w:t>联 系 人：</w:t>
            </w:r>
          </w:p>
        </w:tc>
        <w:tc>
          <w:tcPr>
            <w:tcW w:w="6086" w:type="dxa"/>
            <w:shd w:val="clear" w:color="auto" w:fill="auto"/>
          </w:tcPr>
          <w:p>
            <w:pPr>
              <w:spacing w:line="400" w:lineRule="exact"/>
              <w:rPr>
                <w:rFonts w:ascii="宋体" w:hAnsi="宋体"/>
              </w:rPr>
            </w:pPr>
            <w:r>
              <w:rPr>
                <w:rFonts w:hint="eastAsia" w:ascii="宋体" w:hAnsi="宋体"/>
              </w:rPr>
              <w:t>王先生</w:t>
            </w:r>
          </w:p>
        </w:tc>
      </w:tr>
      <w:tr>
        <w:tblPrEx>
          <w:tblCellMar>
            <w:top w:w="0" w:type="dxa"/>
            <w:left w:w="108" w:type="dxa"/>
            <w:bottom w:w="0" w:type="dxa"/>
            <w:right w:w="108" w:type="dxa"/>
          </w:tblCellMar>
        </w:tblPrEx>
        <w:tc>
          <w:tcPr>
            <w:tcW w:w="1242" w:type="dxa"/>
            <w:shd w:val="clear" w:color="auto" w:fill="auto"/>
          </w:tcPr>
          <w:p>
            <w:pPr>
              <w:spacing w:line="400" w:lineRule="exact"/>
              <w:rPr>
                <w:rFonts w:ascii="宋体" w:hAnsi="宋体"/>
              </w:rPr>
            </w:pPr>
            <w:r>
              <w:rPr>
                <w:rFonts w:hint="eastAsia"/>
              </w:rPr>
              <w:t>电    话：</w:t>
            </w:r>
          </w:p>
        </w:tc>
        <w:tc>
          <w:tcPr>
            <w:tcW w:w="6086" w:type="dxa"/>
            <w:shd w:val="clear" w:color="auto" w:fill="auto"/>
          </w:tcPr>
          <w:p>
            <w:pPr>
              <w:spacing w:line="400" w:lineRule="exact"/>
              <w:rPr>
                <w:rFonts w:ascii="宋体" w:hAnsi="宋体"/>
              </w:rPr>
            </w:pPr>
            <w:r>
              <w:rPr>
                <w:rFonts w:hint="eastAsia" w:ascii="宋体" w:hAnsi="宋体"/>
              </w:rPr>
              <w:t>028-86098879</w:t>
            </w:r>
          </w:p>
        </w:tc>
      </w:tr>
      <w:tr>
        <w:tblPrEx>
          <w:tblCellMar>
            <w:top w:w="0" w:type="dxa"/>
            <w:left w:w="108" w:type="dxa"/>
            <w:bottom w:w="0" w:type="dxa"/>
            <w:right w:w="108" w:type="dxa"/>
          </w:tblCellMar>
        </w:tblPrEx>
        <w:tc>
          <w:tcPr>
            <w:tcW w:w="1242" w:type="dxa"/>
            <w:shd w:val="clear" w:color="auto" w:fill="auto"/>
          </w:tcPr>
          <w:p>
            <w:pPr>
              <w:spacing w:line="400" w:lineRule="exact"/>
              <w:rPr>
                <w:rFonts w:ascii="宋体" w:hAnsi="宋体"/>
              </w:rPr>
            </w:pPr>
            <w:r>
              <w:rPr>
                <w:rFonts w:hint="eastAsia"/>
              </w:rPr>
              <w:t>传    真：</w:t>
            </w:r>
          </w:p>
        </w:tc>
        <w:tc>
          <w:tcPr>
            <w:tcW w:w="6086" w:type="dxa"/>
            <w:shd w:val="clear" w:color="auto" w:fill="auto"/>
          </w:tcPr>
          <w:p>
            <w:pPr>
              <w:spacing w:line="400" w:lineRule="exact"/>
              <w:rPr>
                <w:rFonts w:ascii="宋体" w:hAnsi="宋体"/>
              </w:rPr>
            </w:pPr>
            <w:r>
              <w:rPr>
                <w:rFonts w:hint="eastAsia" w:ascii="宋体" w:hAnsi="宋体"/>
              </w:rPr>
              <w:t>/</w:t>
            </w:r>
          </w:p>
        </w:tc>
      </w:tr>
      <w:tr>
        <w:tblPrEx>
          <w:tblCellMar>
            <w:top w:w="0" w:type="dxa"/>
            <w:left w:w="108" w:type="dxa"/>
            <w:bottom w:w="0" w:type="dxa"/>
            <w:right w:w="108" w:type="dxa"/>
          </w:tblCellMar>
        </w:tblPrEx>
        <w:trPr>
          <w:trHeight w:val="355" w:hRule="atLeast"/>
        </w:trPr>
        <w:tc>
          <w:tcPr>
            <w:tcW w:w="1242" w:type="dxa"/>
            <w:shd w:val="clear" w:color="auto" w:fill="auto"/>
          </w:tcPr>
          <w:p>
            <w:pPr>
              <w:spacing w:line="400" w:lineRule="exact"/>
              <w:rPr>
                <w:rFonts w:ascii="宋体" w:hAnsi="宋体"/>
              </w:rPr>
            </w:pPr>
            <w:r>
              <w:rPr>
                <w:rFonts w:hint="eastAsia"/>
              </w:rPr>
              <w:t>电子邮件：</w:t>
            </w:r>
          </w:p>
        </w:tc>
        <w:tc>
          <w:tcPr>
            <w:tcW w:w="6086" w:type="dxa"/>
            <w:shd w:val="clear" w:color="auto" w:fill="auto"/>
          </w:tcPr>
          <w:p>
            <w:pPr>
              <w:spacing w:line="400" w:lineRule="exact"/>
              <w:rPr>
                <w:rFonts w:ascii="宋体" w:hAnsi="宋体"/>
              </w:rPr>
            </w:pPr>
            <w:r>
              <w:rPr>
                <w:rFonts w:hint="eastAsia" w:ascii="宋体" w:hAnsi="宋体"/>
              </w:rPr>
              <w:t>/</w:t>
            </w:r>
          </w:p>
        </w:tc>
      </w:tr>
    </w:tbl>
    <w:p>
      <w:pPr>
        <w:pStyle w:val="8"/>
        <w:spacing w:line="400" w:lineRule="exact"/>
        <w:ind w:left="425" w:firstLine="0" w:firstLineChars="0"/>
        <w:rPr>
          <w:rFonts w:ascii="宋体" w:hAnsi="宋体"/>
        </w:rPr>
      </w:pPr>
    </w:p>
    <w:p>
      <w:pPr>
        <w:pStyle w:val="8"/>
        <w:spacing w:line="360" w:lineRule="auto"/>
        <w:ind w:left="425" w:right="279" w:firstLine="0" w:firstLineChars="0"/>
        <w:jc w:val="right"/>
        <w:rPr>
          <w:rFonts w:ascii="宋体" w:hAnsi="宋体"/>
          <w:szCs w:val="21"/>
        </w:rPr>
      </w:pPr>
    </w:p>
    <w:p>
      <w:pPr>
        <w:pStyle w:val="8"/>
        <w:spacing w:line="400" w:lineRule="exact"/>
        <w:ind w:firstLine="4970" w:firstLineChars="2367"/>
        <w:rPr>
          <w:rFonts w:ascii="宋体" w:hAnsi="宋体"/>
          <w:szCs w:val="21"/>
        </w:rPr>
      </w:pPr>
      <w:r>
        <w:rPr>
          <w:rFonts w:hint="eastAsia" w:ascii="宋体" w:hAnsi="宋体"/>
          <w:szCs w:val="21"/>
        </w:rPr>
        <w:t>四川省投资集团有限责任公司</w:t>
      </w:r>
    </w:p>
    <w:p>
      <w:pPr>
        <w:pStyle w:val="8"/>
        <w:spacing w:line="400" w:lineRule="exact"/>
        <w:ind w:firstLine="4970" w:firstLineChars="2367"/>
        <w:rPr>
          <w:rFonts w:ascii="宋体" w:hAnsi="宋体"/>
          <w:szCs w:val="21"/>
        </w:rPr>
        <w:sectPr>
          <w:footerReference r:id="rId3" w:type="default"/>
          <w:pgSz w:w="11906" w:h="16838"/>
          <w:pgMar w:top="1440" w:right="1797" w:bottom="1440" w:left="1797" w:header="851" w:footer="992" w:gutter="0"/>
          <w:pgNumType w:start="1"/>
          <w:cols w:space="425" w:num="1"/>
          <w:docGrid w:linePitch="312" w:charSpace="0"/>
        </w:sectPr>
      </w:pPr>
      <w:r>
        <w:rPr>
          <w:rFonts w:hint="eastAsia" w:ascii="宋体" w:hAnsi="宋体"/>
          <w:szCs w:val="21"/>
        </w:rPr>
        <w:t>2021年9月9日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D32087B"/>
    <w:multiLevelType w:val="multilevel"/>
    <w:tmpl w:val="5D32087B"/>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E4833FD"/>
    <w:multiLevelType w:val="multilevel"/>
    <w:tmpl w:val="5E4833FD"/>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05C93"/>
    <w:rsid w:val="01BD5383"/>
    <w:rsid w:val="0210655D"/>
    <w:rsid w:val="023C2F42"/>
    <w:rsid w:val="02C00209"/>
    <w:rsid w:val="030644DD"/>
    <w:rsid w:val="03B31899"/>
    <w:rsid w:val="03C74E20"/>
    <w:rsid w:val="04212F2F"/>
    <w:rsid w:val="04863B9F"/>
    <w:rsid w:val="058E4E54"/>
    <w:rsid w:val="06335CAA"/>
    <w:rsid w:val="065F736C"/>
    <w:rsid w:val="0705662C"/>
    <w:rsid w:val="072C6D6E"/>
    <w:rsid w:val="0755680E"/>
    <w:rsid w:val="0A0F355F"/>
    <w:rsid w:val="0A2F0858"/>
    <w:rsid w:val="0A4C68DE"/>
    <w:rsid w:val="0B7E1B4E"/>
    <w:rsid w:val="0BB11C62"/>
    <w:rsid w:val="0C14663C"/>
    <w:rsid w:val="0C2E6AB8"/>
    <w:rsid w:val="0C875499"/>
    <w:rsid w:val="0E251740"/>
    <w:rsid w:val="0E620FEB"/>
    <w:rsid w:val="0EC0691E"/>
    <w:rsid w:val="0ED3046C"/>
    <w:rsid w:val="0EFE76A2"/>
    <w:rsid w:val="0F2C65EC"/>
    <w:rsid w:val="0F36104A"/>
    <w:rsid w:val="0FA120C7"/>
    <w:rsid w:val="0FED3D25"/>
    <w:rsid w:val="0FF46A6F"/>
    <w:rsid w:val="10B4747C"/>
    <w:rsid w:val="112D6817"/>
    <w:rsid w:val="12404476"/>
    <w:rsid w:val="12BE0F3C"/>
    <w:rsid w:val="12E3513D"/>
    <w:rsid w:val="13624497"/>
    <w:rsid w:val="138727DB"/>
    <w:rsid w:val="14477C8B"/>
    <w:rsid w:val="14853B3D"/>
    <w:rsid w:val="14BF46A5"/>
    <w:rsid w:val="15A2100D"/>
    <w:rsid w:val="16C33181"/>
    <w:rsid w:val="17490B25"/>
    <w:rsid w:val="18492668"/>
    <w:rsid w:val="18A63B44"/>
    <w:rsid w:val="194228BF"/>
    <w:rsid w:val="19462EE8"/>
    <w:rsid w:val="195F29EC"/>
    <w:rsid w:val="196803FB"/>
    <w:rsid w:val="1A6A7144"/>
    <w:rsid w:val="1A783790"/>
    <w:rsid w:val="1A8A7AD6"/>
    <w:rsid w:val="1B754D78"/>
    <w:rsid w:val="1B763273"/>
    <w:rsid w:val="1D97109B"/>
    <w:rsid w:val="1DA10764"/>
    <w:rsid w:val="1DD27D12"/>
    <w:rsid w:val="1E105A70"/>
    <w:rsid w:val="1EA5787F"/>
    <w:rsid w:val="1EF16072"/>
    <w:rsid w:val="1F6E49B4"/>
    <w:rsid w:val="1F830041"/>
    <w:rsid w:val="1F9E13CA"/>
    <w:rsid w:val="20BD0CFD"/>
    <w:rsid w:val="213F0A82"/>
    <w:rsid w:val="218F672F"/>
    <w:rsid w:val="21CA7B02"/>
    <w:rsid w:val="22637C93"/>
    <w:rsid w:val="228C3506"/>
    <w:rsid w:val="23762CD3"/>
    <w:rsid w:val="23943114"/>
    <w:rsid w:val="2453464C"/>
    <w:rsid w:val="24BD0D43"/>
    <w:rsid w:val="26461F69"/>
    <w:rsid w:val="27081728"/>
    <w:rsid w:val="27BB0A83"/>
    <w:rsid w:val="280C5C5F"/>
    <w:rsid w:val="29236082"/>
    <w:rsid w:val="2B0D76AC"/>
    <w:rsid w:val="2B911131"/>
    <w:rsid w:val="2C192752"/>
    <w:rsid w:val="2E106C17"/>
    <w:rsid w:val="2E332076"/>
    <w:rsid w:val="2EBC756C"/>
    <w:rsid w:val="2F153E7C"/>
    <w:rsid w:val="2F221F17"/>
    <w:rsid w:val="2F2C4363"/>
    <w:rsid w:val="2FC976DC"/>
    <w:rsid w:val="30090D68"/>
    <w:rsid w:val="30554CDD"/>
    <w:rsid w:val="30E13B82"/>
    <w:rsid w:val="31CC654F"/>
    <w:rsid w:val="31E152EA"/>
    <w:rsid w:val="32AE0ADD"/>
    <w:rsid w:val="33F05C93"/>
    <w:rsid w:val="34AF12C5"/>
    <w:rsid w:val="351D7164"/>
    <w:rsid w:val="355212FD"/>
    <w:rsid w:val="37256548"/>
    <w:rsid w:val="37C62220"/>
    <w:rsid w:val="38C9696F"/>
    <w:rsid w:val="38DF00EF"/>
    <w:rsid w:val="396008BB"/>
    <w:rsid w:val="3A282330"/>
    <w:rsid w:val="3A683570"/>
    <w:rsid w:val="3AC547F5"/>
    <w:rsid w:val="3AD66183"/>
    <w:rsid w:val="3C976BA4"/>
    <w:rsid w:val="3D320D5F"/>
    <w:rsid w:val="3E0D5C61"/>
    <w:rsid w:val="3E197ADC"/>
    <w:rsid w:val="3FAD3955"/>
    <w:rsid w:val="3FD20F96"/>
    <w:rsid w:val="3FF90044"/>
    <w:rsid w:val="409C36D7"/>
    <w:rsid w:val="40A50DB0"/>
    <w:rsid w:val="40B038E2"/>
    <w:rsid w:val="40F516BB"/>
    <w:rsid w:val="42B77867"/>
    <w:rsid w:val="430A0B9C"/>
    <w:rsid w:val="44942088"/>
    <w:rsid w:val="46CD5CD3"/>
    <w:rsid w:val="471C210E"/>
    <w:rsid w:val="47E21241"/>
    <w:rsid w:val="489D4FC6"/>
    <w:rsid w:val="48E43198"/>
    <w:rsid w:val="49537BC7"/>
    <w:rsid w:val="49D8165B"/>
    <w:rsid w:val="49E407BE"/>
    <w:rsid w:val="49E8785E"/>
    <w:rsid w:val="49F62DC1"/>
    <w:rsid w:val="4AF533BF"/>
    <w:rsid w:val="4B3F7B3A"/>
    <w:rsid w:val="4BE027ED"/>
    <w:rsid w:val="4BE9079F"/>
    <w:rsid w:val="4C877815"/>
    <w:rsid w:val="4CB33C2A"/>
    <w:rsid w:val="4E9824F2"/>
    <w:rsid w:val="4F2A1F0C"/>
    <w:rsid w:val="4F6941C2"/>
    <w:rsid w:val="4F8C38C1"/>
    <w:rsid w:val="4F8D6E06"/>
    <w:rsid w:val="50421BD9"/>
    <w:rsid w:val="51AD1F5F"/>
    <w:rsid w:val="526519A2"/>
    <w:rsid w:val="52E0429A"/>
    <w:rsid w:val="53EB442B"/>
    <w:rsid w:val="54434A82"/>
    <w:rsid w:val="56217F0E"/>
    <w:rsid w:val="565E6906"/>
    <w:rsid w:val="5726578E"/>
    <w:rsid w:val="57C77CE4"/>
    <w:rsid w:val="588577CC"/>
    <w:rsid w:val="5AAA4F3C"/>
    <w:rsid w:val="5AE61F67"/>
    <w:rsid w:val="5AF45BFE"/>
    <w:rsid w:val="5BEE1C8E"/>
    <w:rsid w:val="5C8D0E00"/>
    <w:rsid w:val="5CF656FB"/>
    <w:rsid w:val="5D7E5ED7"/>
    <w:rsid w:val="5DA574C8"/>
    <w:rsid w:val="5E2F1A57"/>
    <w:rsid w:val="5F07506C"/>
    <w:rsid w:val="606F5FE7"/>
    <w:rsid w:val="608C23EC"/>
    <w:rsid w:val="60AD23AE"/>
    <w:rsid w:val="617F5037"/>
    <w:rsid w:val="62B260FD"/>
    <w:rsid w:val="630A748F"/>
    <w:rsid w:val="63B1726E"/>
    <w:rsid w:val="64C6157E"/>
    <w:rsid w:val="654F6DB0"/>
    <w:rsid w:val="66351E28"/>
    <w:rsid w:val="66564C41"/>
    <w:rsid w:val="66AD2C5E"/>
    <w:rsid w:val="66D63301"/>
    <w:rsid w:val="678A28A8"/>
    <w:rsid w:val="67C47EC3"/>
    <w:rsid w:val="68F039AE"/>
    <w:rsid w:val="690F246B"/>
    <w:rsid w:val="6B586E85"/>
    <w:rsid w:val="6BBC0AAE"/>
    <w:rsid w:val="6BCF404E"/>
    <w:rsid w:val="6BDD53B4"/>
    <w:rsid w:val="6C445593"/>
    <w:rsid w:val="6C8B5306"/>
    <w:rsid w:val="6D56463F"/>
    <w:rsid w:val="6DAE7A44"/>
    <w:rsid w:val="6DDE4057"/>
    <w:rsid w:val="6EB1445E"/>
    <w:rsid w:val="6EB5116F"/>
    <w:rsid w:val="6EC77B4D"/>
    <w:rsid w:val="6F9257CA"/>
    <w:rsid w:val="6FDC3CB5"/>
    <w:rsid w:val="707F0F8E"/>
    <w:rsid w:val="710D072D"/>
    <w:rsid w:val="712D3BAC"/>
    <w:rsid w:val="7184090D"/>
    <w:rsid w:val="71F708ED"/>
    <w:rsid w:val="725A4D76"/>
    <w:rsid w:val="72B710DA"/>
    <w:rsid w:val="72EA270F"/>
    <w:rsid w:val="73733B8D"/>
    <w:rsid w:val="743508E9"/>
    <w:rsid w:val="74CB5AB5"/>
    <w:rsid w:val="75EC6AAF"/>
    <w:rsid w:val="75F75E7E"/>
    <w:rsid w:val="76A615E4"/>
    <w:rsid w:val="77C4294F"/>
    <w:rsid w:val="782416C2"/>
    <w:rsid w:val="788E63A7"/>
    <w:rsid w:val="78D75BBD"/>
    <w:rsid w:val="78E05E05"/>
    <w:rsid w:val="79063BE7"/>
    <w:rsid w:val="79C33CB1"/>
    <w:rsid w:val="7BAC4D86"/>
    <w:rsid w:val="7BC8056A"/>
    <w:rsid w:val="7BE4576E"/>
    <w:rsid w:val="7C9F37EE"/>
    <w:rsid w:val="7CEB6EAE"/>
    <w:rsid w:val="7DA51A3A"/>
    <w:rsid w:val="7DDA2489"/>
    <w:rsid w:val="7DF2722E"/>
    <w:rsid w:val="7E16571F"/>
    <w:rsid w:val="7ED27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bt1bt1"/>
    <w:basedOn w:val="3"/>
    <w:qFormat/>
    <w:uiPriority w:val="0"/>
    <w:pPr>
      <w:spacing w:line="240" w:lineRule="auto"/>
      <w:jc w:val="center"/>
    </w:pPr>
    <w:rPr>
      <w:rFonts w:ascii="黑体" w:eastAsia="黑体"/>
      <w:b w:val="0"/>
      <w:sz w:val="36"/>
      <w:szCs w:val="36"/>
    </w:rPr>
  </w:style>
  <w:style w:type="paragraph" w:customStyle="1" w:styleId="8">
    <w:name w:val="列表段落1"/>
    <w:basedOn w:val="1"/>
    <w:unhideWhenUsed/>
    <w:qFormat/>
    <w:uiPriority w:val="99"/>
    <w:pPr>
      <w:ind w:firstLine="420" w:firstLineChars="200"/>
    </w:pPr>
  </w:style>
  <w:style w:type="paragraph" w:customStyle="1" w:styleId="9">
    <w:name w:val="列出段落1"/>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2021-09-14T09:27:00Z</dcterms:created>
  <dc:creator>sy</dc:creator>
  <cp:lastModifiedBy>sy</cp:lastModifiedBy>
  <dcterms:modified xsi:type="dcterms:W3CDTF">2021-09-15T00:57:51Z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