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四川省投资集团有限责任公司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关于集团本部有序复工</w:t>
      </w:r>
      <w:r>
        <w:rPr>
          <w:rFonts w:hint="eastAsia" w:asciiTheme="majorEastAsia" w:hAnsiTheme="majorEastAsia" w:eastAsiaTheme="majorEastAsia" w:cstheme="majorEastAsia"/>
          <w:b/>
          <w:bCs/>
          <w:sz w:val="36"/>
          <w:szCs w:val="36"/>
          <w:lang w:eastAsia="zh-CN"/>
        </w:rPr>
        <w:t>弹性上班</w:t>
      </w:r>
      <w:r>
        <w:rPr>
          <w:rFonts w:hint="eastAsia" w:asciiTheme="majorEastAsia" w:hAnsiTheme="majorEastAsia" w:eastAsiaTheme="majorEastAsia" w:cstheme="majorEastAsia"/>
          <w:b/>
          <w:bCs/>
          <w:sz w:val="36"/>
          <w:szCs w:val="36"/>
        </w:rPr>
        <w:t>的紧急</w:t>
      </w:r>
      <w:bookmarkStart w:id="0" w:name="_GoBack"/>
      <w:bookmarkEnd w:id="0"/>
      <w:r>
        <w:rPr>
          <w:rFonts w:hint="eastAsia" w:asciiTheme="majorEastAsia" w:hAnsiTheme="majorEastAsia" w:eastAsiaTheme="majorEastAsia" w:cstheme="majorEastAsia"/>
          <w:b/>
          <w:bCs/>
          <w:sz w:val="36"/>
          <w:szCs w:val="36"/>
        </w:rPr>
        <w:t>通知</w:t>
      </w:r>
    </w:p>
    <w:p>
      <w:pPr>
        <w:spacing w:line="578" w:lineRule="exact"/>
        <w:rPr>
          <w:rFonts w:hint="eastAsia" w:ascii="仿宋" w:hAnsi="仿宋" w:eastAsia="仿宋" w:cs="仿宋"/>
          <w:sz w:val="32"/>
          <w:szCs w:val="32"/>
        </w:rPr>
      </w:pPr>
    </w:p>
    <w:p>
      <w:pPr>
        <w:spacing w:line="578" w:lineRule="exact"/>
        <w:rPr>
          <w:rFonts w:ascii="仿宋" w:hAnsi="仿宋" w:eastAsia="仿宋" w:cs="仿宋"/>
          <w:sz w:val="32"/>
          <w:szCs w:val="32"/>
        </w:rPr>
      </w:pPr>
      <w:r>
        <w:rPr>
          <w:rFonts w:hint="eastAsia" w:ascii="仿宋" w:hAnsi="仿宋" w:eastAsia="仿宋" w:cs="仿宋"/>
          <w:sz w:val="32"/>
          <w:szCs w:val="32"/>
        </w:rPr>
        <w:t>集团公司各部门：</w:t>
      </w:r>
    </w:p>
    <w:p>
      <w:pPr>
        <w:spacing w:line="578" w:lineRule="exact"/>
        <w:ind w:firstLine="640"/>
        <w:rPr>
          <w:rFonts w:ascii="仿宋" w:hAnsi="仿宋" w:eastAsia="仿宋" w:cs="仿宋"/>
          <w:sz w:val="32"/>
          <w:szCs w:val="32"/>
        </w:rPr>
      </w:pPr>
      <w:r>
        <w:rPr>
          <w:rFonts w:hint="eastAsia" w:ascii="仿宋" w:hAnsi="仿宋" w:eastAsia="仿宋" w:cs="仿宋"/>
          <w:sz w:val="32"/>
          <w:szCs w:val="32"/>
        </w:rPr>
        <w:t>当前，我省疫情形势仍然严峻复杂，疫情防控工作正处于最吃劲的关键阶段，为全力抓实抓细疫情防控重点工作，聚焦全年目标任务，扎实有序推进企业复工复产，奋力夺取疫情防控和实现高质量发展目标双胜利，现将有关事项通知如下：</w:t>
      </w:r>
    </w:p>
    <w:p>
      <w:pPr>
        <w:spacing w:line="578" w:lineRule="exact"/>
        <w:ind w:firstLine="640"/>
        <w:rPr>
          <w:rFonts w:ascii="仿宋" w:hAnsi="仿宋" w:eastAsia="仿宋" w:cs="仿宋"/>
          <w:sz w:val="32"/>
          <w:szCs w:val="32"/>
        </w:rPr>
      </w:pPr>
      <w:r>
        <w:rPr>
          <w:rFonts w:hint="eastAsia" w:ascii="仿宋" w:hAnsi="仿宋" w:eastAsia="仿宋" w:cs="仿宋"/>
          <w:sz w:val="32"/>
          <w:szCs w:val="32"/>
        </w:rPr>
        <w:t>一、为有序推动集团公司</w:t>
      </w:r>
      <w:r>
        <w:rPr>
          <w:rFonts w:hint="eastAsia" w:ascii="仿宋" w:hAnsi="仿宋" w:eastAsia="仿宋" w:cs="仿宋"/>
          <w:sz w:val="32"/>
          <w:szCs w:val="32"/>
          <w:lang w:eastAsia="zh-CN"/>
        </w:rPr>
        <w:t>全面复工和正常运转</w:t>
      </w:r>
      <w:r>
        <w:rPr>
          <w:rFonts w:hint="eastAsia" w:ascii="仿宋" w:hAnsi="仿宋" w:eastAsia="仿宋" w:cs="仿宋"/>
          <w:sz w:val="32"/>
          <w:szCs w:val="32"/>
        </w:rPr>
        <w:t>，经研究决定，集团公司领导班子成员及部门负责人自2月20日（本周四）起、部门副职自2月24日（下周一）起到川投大厦办公。部门员工由各部门负责人自行调配，可采取轮流上岗方式安排有序复岗复工。以上人员如医学观察</w:t>
      </w:r>
      <w:r>
        <w:rPr>
          <w:rFonts w:hint="eastAsia" w:ascii="仿宋" w:hAnsi="仿宋" w:eastAsia="仿宋" w:cs="仿宋"/>
          <w:sz w:val="32"/>
          <w:szCs w:val="32"/>
          <w:lang w:eastAsia="zh-CN"/>
        </w:rPr>
        <w:t>期未满</w:t>
      </w:r>
      <w:r>
        <w:rPr>
          <w:rFonts w:hint="eastAsia" w:ascii="仿宋" w:hAnsi="仿宋" w:eastAsia="仿宋" w:cs="仿宋"/>
          <w:sz w:val="32"/>
          <w:szCs w:val="32"/>
        </w:rPr>
        <w:t>、居家隔离期内有发热、乏力、干咳、鼻塞、流涕、腹泻等症状的不得安排复岗，直至医学观察和居家隔离期满或症状完全消失后无任何异常情况的方可复岗。</w:t>
      </w:r>
    </w:p>
    <w:p>
      <w:pPr>
        <w:spacing w:line="578" w:lineRule="exact"/>
        <w:ind w:firstLine="640"/>
        <w:rPr>
          <w:rFonts w:ascii="仿宋" w:hAnsi="仿宋" w:eastAsia="仿宋" w:cs="仿宋"/>
          <w:sz w:val="32"/>
          <w:szCs w:val="32"/>
        </w:rPr>
      </w:pPr>
      <w:r>
        <w:rPr>
          <w:rFonts w:hint="eastAsia" w:ascii="仿宋" w:hAnsi="仿宋" w:eastAsia="仿宋" w:cs="仿宋"/>
          <w:sz w:val="32"/>
          <w:szCs w:val="32"/>
        </w:rPr>
        <w:t>二、复岗人员到川投大厦办公和往返途中必须严格履行疫情防控和自身防护相关措施，建议上下班采用自驾、骑行、步行等方式，尽量避免乘坐公共交通工具。各部门要提前一天将</w:t>
      </w:r>
      <w:r>
        <w:rPr>
          <w:rFonts w:hint="eastAsia" w:ascii="仿宋" w:hAnsi="仿宋" w:eastAsia="仿宋" w:cs="仿宋"/>
          <w:sz w:val="32"/>
          <w:szCs w:val="32"/>
          <w:lang w:eastAsia="zh-CN"/>
        </w:rPr>
        <w:t>次日</w:t>
      </w:r>
      <w:r>
        <w:rPr>
          <w:rFonts w:hint="eastAsia" w:ascii="仿宋" w:hAnsi="仿宋" w:eastAsia="仿宋" w:cs="仿宋"/>
          <w:sz w:val="32"/>
          <w:szCs w:val="32"/>
        </w:rPr>
        <w:t>复岗人员名单、车牌号、用餐情况报办公室汇总。疫情防控期间，川投</w:t>
      </w:r>
      <w:r>
        <w:rPr>
          <w:rFonts w:hint="eastAsia" w:ascii="仿宋" w:hAnsi="仿宋" w:eastAsia="仿宋" w:cs="仿宋"/>
          <w:sz w:val="32"/>
          <w:szCs w:val="32"/>
          <w:lang w:eastAsia="zh-CN"/>
        </w:rPr>
        <w:t>房地产公司</w:t>
      </w:r>
      <w:r>
        <w:rPr>
          <w:rFonts w:hint="eastAsia" w:ascii="仿宋" w:hAnsi="仿宋" w:eastAsia="仿宋" w:cs="仿宋"/>
          <w:sz w:val="32"/>
          <w:szCs w:val="32"/>
        </w:rPr>
        <w:t>对集团</w:t>
      </w:r>
      <w:r>
        <w:rPr>
          <w:rFonts w:hint="eastAsia" w:ascii="仿宋" w:hAnsi="仿宋" w:eastAsia="仿宋" w:cs="仿宋"/>
          <w:sz w:val="32"/>
          <w:szCs w:val="32"/>
          <w:lang w:eastAsia="zh-CN"/>
        </w:rPr>
        <w:t>公司</w:t>
      </w:r>
      <w:r>
        <w:rPr>
          <w:rFonts w:hint="eastAsia" w:ascii="仿宋" w:hAnsi="仿宋" w:eastAsia="仿宋" w:cs="仿宋"/>
          <w:sz w:val="32"/>
          <w:szCs w:val="32"/>
        </w:rPr>
        <w:t>本部</w:t>
      </w:r>
      <w:r>
        <w:rPr>
          <w:rFonts w:hint="eastAsia" w:ascii="仿宋" w:hAnsi="仿宋" w:eastAsia="仿宋" w:cs="仿宋"/>
          <w:sz w:val="32"/>
          <w:szCs w:val="32"/>
          <w:lang w:eastAsia="zh-CN"/>
        </w:rPr>
        <w:t>自驾车</w:t>
      </w:r>
      <w:r>
        <w:rPr>
          <w:rFonts w:hint="eastAsia" w:ascii="仿宋" w:hAnsi="仿宋" w:eastAsia="仿宋" w:cs="仿宋"/>
          <w:sz w:val="32"/>
          <w:szCs w:val="32"/>
        </w:rPr>
        <w:t>员工</w:t>
      </w:r>
      <w:r>
        <w:rPr>
          <w:rFonts w:hint="eastAsia" w:ascii="仿宋" w:hAnsi="仿宋" w:eastAsia="仿宋" w:cs="仿宋"/>
          <w:sz w:val="32"/>
          <w:szCs w:val="32"/>
          <w:lang w:eastAsia="zh-CN"/>
        </w:rPr>
        <w:t>停放川投大厦地下车场不计</w:t>
      </w:r>
      <w:r>
        <w:rPr>
          <w:rFonts w:hint="eastAsia" w:ascii="仿宋" w:hAnsi="仿宋" w:eastAsia="仿宋" w:cs="仿宋"/>
          <w:sz w:val="32"/>
          <w:szCs w:val="32"/>
        </w:rPr>
        <w:t>收停车费；工作午餐由食堂安排专人按照登记信息送至各楼层，避免集中用餐</w:t>
      </w:r>
      <w:r>
        <w:rPr>
          <w:rFonts w:hint="eastAsia" w:ascii="仿宋" w:hAnsi="仿宋" w:eastAsia="仿宋" w:cs="仿宋"/>
          <w:sz w:val="32"/>
          <w:szCs w:val="32"/>
          <w:lang w:eastAsia="zh-CN"/>
        </w:rPr>
        <w:t>，各部门用餐后请将餐余垃圾集中放至各楼层指定区域</w:t>
      </w:r>
      <w:r>
        <w:rPr>
          <w:rFonts w:hint="eastAsia" w:ascii="仿宋" w:hAnsi="仿宋" w:eastAsia="仿宋" w:cs="仿宋"/>
          <w:sz w:val="32"/>
          <w:szCs w:val="32"/>
        </w:rPr>
        <w:t>。</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rPr>
        <w:t>三、集团公司各部门负责人须全面掌握部门每位员工（含</w:t>
      </w:r>
      <w:r>
        <w:rPr>
          <w:rFonts w:hint="eastAsia" w:ascii="仿宋" w:hAnsi="仿宋" w:eastAsia="仿宋" w:cs="仿宋"/>
          <w:sz w:val="32"/>
          <w:szCs w:val="32"/>
          <w:lang w:eastAsia="zh-CN"/>
        </w:rPr>
        <w:t>在编</w:t>
      </w:r>
      <w:r>
        <w:rPr>
          <w:rFonts w:hint="eastAsia" w:ascii="仿宋" w:hAnsi="仿宋" w:eastAsia="仿宋" w:cs="仿宋"/>
          <w:sz w:val="32"/>
          <w:szCs w:val="32"/>
        </w:rPr>
        <w:t>、借调、实习生）自四川省启动突发公共卫生事件Ⅰ级响应之日（1月24日）以来的详细活动轨迹，每位员工要如实填写《新冠疫情期间员工健康情况及活动轨迹登记表》并交部门负责人存档备案</w:t>
      </w:r>
      <w:r>
        <w:rPr>
          <w:rFonts w:hint="eastAsia" w:ascii="仿宋" w:hAnsi="仿宋" w:eastAsia="仿宋" w:cs="仿宋"/>
          <w:sz w:val="32"/>
          <w:szCs w:val="32"/>
          <w:lang w:eastAsia="zh-CN"/>
        </w:rPr>
        <w:t>，并结合员工返蓉时间、活动轨迹和身体健康状况合理调度安排工作</w:t>
      </w:r>
      <w:r>
        <w:rPr>
          <w:rFonts w:hint="eastAsia" w:ascii="仿宋" w:hAnsi="仿宋" w:eastAsia="仿宋" w:cs="仿宋"/>
          <w:sz w:val="32"/>
          <w:szCs w:val="32"/>
        </w:rPr>
        <w:t>。</w:t>
      </w:r>
    </w:p>
    <w:p>
      <w:pPr>
        <w:spacing w:line="578"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四、在疫情防控四川省</w:t>
      </w:r>
      <w:r>
        <w:rPr>
          <w:rFonts w:hint="eastAsia" w:ascii="仿宋" w:hAnsi="仿宋" w:eastAsia="仿宋" w:cs="仿宋"/>
          <w:sz w:val="32"/>
          <w:szCs w:val="32"/>
          <w:lang w:val="en-US" w:eastAsia="zh-CN"/>
        </w:rPr>
        <w:t>I级影响期内，为避免川投大厦上下班高峰期人员聚焦，</w:t>
      </w:r>
      <w:r>
        <w:rPr>
          <w:rFonts w:hint="eastAsia" w:ascii="仿宋" w:hAnsi="仿宋" w:eastAsia="仿宋" w:cs="仿宋"/>
          <w:sz w:val="32"/>
          <w:szCs w:val="32"/>
          <w:lang w:eastAsia="zh-CN"/>
        </w:rPr>
        <w:t>集团公司本部员工实行弹性工作制，鼓励员工上下班错峰出行。</w:t>
      </w:r>
    </w:p>
    <w:p>
      <w:pPr>
        <w:spacing w:line="578"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五、疫情防控</w:t>
      </w:r>
      <w:r>
        <w:rPr>
          <w:rFonts w:hint="eastAsia" w:ascii="仿宋" w:hAnsi="仿宋" w:eastAsia="仿宋" w:cs="仿宋"/>
          <w:sz w:val="32"/>
          <w:szCs w:val="32"/>
          <w:lang w:val="en-US" w:eastAsia="zh-CN"/>
        </w:rPr>
        <w:t>期，集团公司本部员工要服从疫情管控要求，进入川投大厦须自觉佩戴口罩，部门员工上班用口罩可向物资保障组领取（2月19日将向各部门再发放一批），进入川投大厦须配合物业管理进行“四查一登记”。由于口罩依然紧缺，请大家做好个人防护、爱惜公共防疫物资。</w:t>
      </w:r>
    </w:p>
    <w:p>
      <w:pPr>
        <w:spacing w:line="578"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其他事项按照集团公司党委批准、社区政府备案的复工方案和应急预案执行。</w:t>
      </w:r>
    </w:p>
    <w:p>
      <w:pPr>
        <w:spacing w:line="578" w:lineRule="exact"/>
        <w:ind w:firstLine="640"/>
        <w:rPr>
          <w:rFonts w:ascii="仿宋" w:hAnsi="仿宋" w:eastAsia="仿宋" w:cs="仿宋"/>
          <w:sz w:val="32"/>
          <w:szCs w:val="32"/>
        </w:rPr>
      </w:pPr>
      <w:r>
        <w:rPr>
          <w:rFonts w:hint="eastAsia" w:ascii="仿宋" w:hAnsi="仿宋" w:eastAsia="仿宋" w:cs="仿宋"/>
          <w:sz w:val="32"/>
          <w:szCs w:val="32"/>
        </w:rPr>
        <w:t>特此通知。</w:t>
      </w:r>
    </w:p>
    <w:p>
      <w:pPr>
        <w:spacing w:line="578" w:lineRule="exact"/>
        <w:ind w:firstLine="640"/>
        <w:rPr>
          <w:rFonts w:ascii="仿宋" w:hAnsi="仿宋" w:eastAsia="仿宋" w:cs="仿宋"/>
          <w:sz w:val="32"/>
          <w:szCs w:val="32"/>
        </w:rPr>
      </w:pPr>
      <w:r>
        <w:rPr>
          <w:rFonts w:hint="eastAsia" w:ascii="仿宋" w:hAnsi="仿宋" w:eastAsia="仿宋" w:cs="仿宋"/>
          <w:sz w:val="32"/>
          <w:szCs w:val="32"/>
        </w:rPr>
        <w:t>附：新冠疫情期间员工健康情况及活动轨迹登记表</w:t>
      </w:r>
    </w:p>
    <w:p>
      <w:pPr>
        <w:spacing w:before="312" w:beforeLines="100" w:line="578" w:lineRule="exact"/>
        <w:ind w:firstLine="3520" w:firstLineChars="1100"/>
        <w:rPr>
          <w:rFonts w:hint="eastAsia" w:ascii="仿宋" w:hAnsi="仿宋" w:eastAsia="仿宋" w:cs="仿宋"/>
          <w:sz w:val="32"/>
          <w:szCs w:val="32"/>
        </w:rPr>
      </w:pPr>
    </w:p>
    <w:p>
      <w:pPr>
        <w:spacing w:before="312" w:beforeLines="100" w:line="578" w:lineRule="exact"/>
        <w:ind w:firstLine="3520" w:firstLineChars="1100"/>
        <w:rPr>
          <w:rFonts w:ascii="仿宋" w:hAnsi="仿宋" w:eastAsia="仿宋" w:cs="仿宋"/>
          <w:sz w:val="32"/>
          <w:szCs w:val="32"/>
        </w:rPr>
      </w:pPr>
      <w:r>
        <w:rPr>
          <w:rFonts w:hint="eastAsia" w:ascii="仿宋" w:hAnsi="仿宋" w:eastAsia="仿宋" w:cs="仿宋"/>
          <w:sz w:val="32"/>
          <w:szCs w:val="32"/>
        </w:rPr>
        <w:t>四川省投资集团有限责任公司</w:t>
      </w:r>
    </w:p>
    <w:p>
      <w:pPr>
        <w:spacing w:line="578"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2020年2月18日</w:t>
      </w:r>
    </w:p>
    <w:p>
      <w:pPr>
        <w:spacing w:line="578" w:lineRule="exact"/>
        <w:rPr>
          <w:rFonts w:hint="default" w:asciiTheme="majorEastAsia" w:hAnsiTheme="majorEastAsia" w:eastAsiaTheme="majorEastAsia" w:cstheme="majorEastAsia"/>
          <w:w w:val="95"/>
          <w:sz w:val="28"/>
          <w:szCs w:val="28"/>
        </w:rPr>
      </w:pPr>
      <w:r>
        <w:rPr>
          <w:rFonts w:asciiTheme="majorEastAsia" w:hAnsiTheme="majorEastAsia" w:eastAsiaTheme="majorEastAsia" w:cstheme="majorEastAsia"/>
          <w:w w:val="95"/>
          <w:sz w:val="28"/>
          <w:szCs w:val="28"/>
        </w:rPr>
        <w:t>附：</w:t>
      </w:r>
    </w:p>
    <w:p>
      <w:pPr>
        <w:pStyle w:val="2"/>
        <w:kinsoku w:val="0"/>
        <w:overflowPunct w:val="0"/>
        <w:spacing w:line="512" w:lineRule="exact"/>
        <w:ind w:left="0" w:right="76"/>
        <w:jc w:val="center"/>
        <w:rPr>
          <w:rFonts w:hint="default" w:ascii="Arial Unicode MS" w:hAnsi="Arial Unicode MS" w:eastAsia="Arial Unicode MS"/>
          <w:sz w:val="40"/>
        </w:rPr>
      </w:pPr>
      <w:r>
        <w:rPr>
          <w:rFonts w:ascii="Arial Unicode MS" w:hAnsi="Arial Unicode MS" w:eastAsia="Arial Unicode MS"/>
          <w:sz w:val="40"/>
        </w:rPr>
        <w:t xml:space="preserve"> 新冠疫情期间员工健康情况及活动轨迹登记表</w:t>
      </w:r>
    </w:p>
    <w:p>
      <w:pPr>
        <w:pStyle w:val="2"/>
        <w:tabs>
          <w:tab w:val="left" w:pos="2178"/>
          <w:tab w:val="left" w:pos="2419"/>
          <w:tab w:val="left" w:pos="4897"/>
          <w:tab w:val="left" w:pos="8418"/>
        </w:tabs>
        <w:kinsoku w:val="0"/>
        <w:overflowPunct w:val="0"/>
        <w:spacing w:before="240"/>
        <w:ind w:left="19"/>
        <w:jc w:val="center"/>
        <w:rPr>
          <w:rFonts w:hint="default" w:ascii="Times New Roman" w:hAnsi="Times New Roman" w:eastAsia="Times New Roman"/>
        </w:rPr>
      </w:pPr>
      <w:r>
        <w:rPr>
          <w:rFonts w:ascii="楷体" w:hAnsi="楷体" w:eastAsia="楷体"/>
          <w:w w:val="95"/>
        </w:rPr>
        <w:t>部门：</w:t>
      </w:r>
      <w:r>
        <w:rPr>
          <w:rFonts w:hint="default" w:ascii="Times New Roman" w:hAnsi="Times New Roman" w:eastAsia="Times New Roman"/>
          <w:w w:val="95"/>
          <w:u w:val="single"/>
        </w:rPr>
        <w:tab/>
      </w:r>
      <w:r>
        <w:rPr>
          <w:rFonts w:hint="default" w:ascii="Times New Roman" w:hAnsi="Times New Roman" w:eastAsia="Times New Roman"/>
          <w:w w:val="95"/>
        </w:rPr>
        <w:tab/>
      </w:r>
      <w:r>
        <w:rPr>
          <w:rFonts w:ascii="楷体" w:hAnsi="楷体" w:eastAsia="楷体"/>
          <w:w w:val="95"/>
        </w:rPr>
        <w:t>姓名：</w:t>
      </w:r>
      <w:r>
        <w:rPr>
          <w:rFonts w:hint="default" w:ascii="Times New Roman" w:hAnsi="Times New Roman" w:eastAsia="Times New Roman"/>
          <w:w w:val="95"/>
          <w:u w:val="single"/>
        </w:rPr>
        <w:tab/>
      </w:r>
      <w:r>
        <w:rPr>
          <w:rFonts w:ascii="楷体" w:hAnsi="楷体" w:eastAsia="楷体"/>
        </w:rPr>
        <w:t>交表时间：</w:t>
      </w:r>
      <w:r>
        <w:rPr>
          <w:rFonts w:hint="default" w:ascii="Times New Roman" w:hAnsi="Times New Roman" w:eastAsia="Times New Roman"/>
          <w:u w:val="single"/>
        </w:rPr>
        <w:t xml:space="preserve"> </w:t>
      </w:r>
      <w:r>
        <w:rPr>
          <w:rFonts w:hint="default" w:ascii="Times New Roman" w:hAnsi="Times New Roman" w:eastAsia="Times New Roman"/>
          <w:u w:val="single"/>
        </w:rPr>
        <w:tab/>
      </w:r>
    </w:p>
    <w:tbl>
      <w:tblPr>
        <w:tblStyle w:val="6"/>
        <w:tblpPr w:leftFromText="180" w:rightFromText="180" w:vertAnchor="text" w:horzAnchor="page" w:tblpX="1912" w:tblpY="301"/>
        <w:tblOverlap w:val="never"/>
        <w:tblW w:w="8658" w:type="dxa"/>
        <w:tblInd w:w="0" w:type="dxa"/>
        <w:tblLayout w:type="fixed"/>
        <w:tblCellMar>
          <w:top w:w="0" w:type="dxa"/>
          <w:left w:w="108" w:type="dxa"/>
          <w:bottom w:w="0" w:type="dxa"/>
          <w:right w:w="108" w:type="dxa"/>
        </w:tblCellMar>
      </w:tblPr>
      <w:tblGrid>
        <w:gridCol w:w="1722"/>
        <w:gridCol w:w="6936"/>
      </w:tblGrid>
      <w:tr>
        <w:tblPrEx>
          <w:tblLayout w:type="fixed"/>
          <w:tblCellMar>
            <w:top w:w="0" w:type="dxa"/>
            <w:left w:w="108" w:type="dxa"/>
            <w:bottom w:w="0" w:type="dxa"/>
            <w:right w:w="108" w:type="dxa"/>
          </w:tblCellMar>
        </w:tblPrEx>
        <w:trPr>
          <w:trHeight w:val="630" w:hRule="exact"/>
        </w:trPr>
        <w:tc>
          <w:tcPr>
            <w:tcW w:w="1722" w:type="dxa"/>
            <w:tcBorders>
              <w:top w:val="single" w:color="000000" w:sz="10" w:space="0"/>
              <w:left w:val="single" w:color="000000" w:sz="10" w:space="0"/>
              <w:bottom w:val="single" w:color="000000" w:sz="4" w:space="0"/>
              <w:right w:val="single" w:color="000000" w:sz="4" w:space="0"/>
              <w:tl2br w:val="nil"/>
              <w:tr2bl w:val="nil"/>
            </w:tcBorders>
          </w:tcPr>
          <w:p>
            <w:pPr>
              <w:pStyle w:val="7"/>
              <w:tabs>
                <w:tab w:val="left" w:pos="989"/>
              </w:tabs>
              <w:kinsoku w:val="0"/>
              <w:overflowPunct w:val="0"/>
              <w:spacing w:before="78"/>
              <w:ind w:left="390"/>
            </w:pPr>
            <w:r>
              <w:rPr>
                <w:rFonts w:hint="eastAsia" w:ascii="黑体" w:hAnsi="黑体" w:eastAsia="黑体"/>
                <w:sz w:val="30"/>
              </w:rPr>
              <w:t>时</w:t>
            </w:r>
            <w:r>
              <w:rPr>
                <w:rFonts w:hint="eastAsia" w:ascii="黑体" w:hAnsi="黑体" w:eastAsia="黑体"/>
                <w:sz w:val="30"/>
              </w:rPr>
              <w:tab/>
            </w:r>
            <w:r>
              <w:rPr>
                <w:rFonts w:hint="eastAsia" w:ascii="黑体" w:hAnsi="黑体" w:eastAsia="黑体"/>
                <w:sz w:val="30"/>
              </w:rPr>
              <w:t>间</w:t>
            </w:r>
          </w:p>
        </w:tc>
        <w:tc>
          <w:tcPr>
            <w:tcW w:w="6936" w:type="dxa"/>
            <w:tcBorders>
              <w:top w:val="single" w:color="000000" w:sz="10" w:space="0"/>
              <w:left w:val="single" w:color="000000" w:sz="4" w:space="0"/>
              <w:bottom w:val="single" w:color="000000" w:sz="4" w:space="0"/>
              <w:right w:val="single" w:color="000000" w:sz="10" w:space="0"/>
              <w:tl2br w:val="nil"/>
              <w:tr2bl w:val="nil"/>
            </w:tcBorders>
          </w:tcPr>
          <w:p>
            <w:pPr>
              <w:pStyle w:val="7"/>
              <w:kinsoku w:val="0"/>
              <w:overflowPunct w:val="0"/>
              <w:spacing w:before="46"/>
              <w:ind w:left="2268"/>
            </w:pPr>
            <w:r>
              <w:rPr>
                <w:rFonts w:hint="eastAsia" w:ascii="黑体" w:hAnsi="黑体" w:eastAsia="黑体"/>
                <w:sz w:val="30"/>
              </w:rPr>
              <w:t>每日简要活动轨迹</w:t>
            </w:r>
          </w:p>
        </w:tc>
      </w:tr>
      <w:tr>
        <w:tblPrEx>
          <w:tblLayout w:type="fixed"/>
          <w:tblCellMar>
            <w:top w:w="0" w:type="dxa"/>
            <w:left w:w="108" w:type="dxa"/>
            <w:bottom w:w="0" w:type="dxa"/>
            <w:right w:w="108" w:type="dxa"/>
          </w:tblCellMar>
        </w:tblPrEx>
        <w:trPr>
          <w:trHeight w:val="45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8"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5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7"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5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9"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5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9"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5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8"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5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8"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5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8"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5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7"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6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9" w:lineRule="exact"/>
              <w:jc w:val="cente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6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9" w:lineRule="exact"/>
              <w:jc w:val="center"/>
              <w:rPr>
                <w:rFonts w:ascii="Times New Roman" w:hAnsi="Times New Roman" w:eastAsia="宋体"/>
                <w:sz w:val="28"/>
              </w:rP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6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9" w:lineRule="exact"/>
              <w:jc w:val="center"/>
              <w:rPr>
                <w:rFonts w:ascii="Times New Roman" w:hAnsi="Times New Roman" w:eastAsia="宋体"/>
                <w:sz w:val="28"/>
              </w:rP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6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9" w:lineRule="exact"/>
              <w:jc w:val="center"/>
              <w:rPr>
                <w:rFonts w:ascii="Times New Roman" w:hAnsi="Times New Roman" w:eastAsia="宋体"/>
                <w:sz w:val="28"/>
              </w:rP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6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9" w:lineRule="exact"/>
              <w:jc w:val="center"/>
              <w:rPr>
                <w:rFonts w:ascii="Times New Roman" w:hAnsi="Times New Roman" w:eastAsia="宋体"/>
                <w:sz w:val="28"/>
              </w:rP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64" w:hRule="exact"/>
        </w:trPr>
        <w:tc>
          <w:tcPr>
            <w:tcW w:w="1722" w:type="dxa"/>
            <w:tcBorders>
              <w:top w:val="single" w:color="000000" w:sz="4" w:space="0"/>
              <w:left w:val="single" w:color="000000" w:sz="10" w:space="0"/>
              <w:bottom w:val="single" w:color="000000" w:sz="4" w:space="0"/>
              <w:right w:val="single" w:color="000000" w:sz="4" w:space="0"/>
              <w:tl2br w:val="nil"/>
              <w:tr2bl w:val="nil"/>
            </w:tcBorders>
          </w:tcPr>
          <w:p>
            <w:pPr>
              <w:pStyle w:val="7"/>
              <w:kinsoku w:val="0"/>
              <w:overflowPunct w:val="0"/>
              <w:spacing w:line="389" w:lineRule="exact"/>
              <w:jc w:val="center"/>
              <w:rPr>
                <w:rFonts w:ascii="Times New Roman" w:hAnsi="Times New Roman" w:eastAsia="宋体"/>
                <w:sz w:val="28"/>
              </w:rPr>
            </w:pPr>
          </w:p>
        </w:tc>
        <w:tc>
          <w:tcPr>
            <w:tcW w:w="6936"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Layout w:type="fixed"/>
          <w:tblCellMar>
            <w:top w:w="0" w:type="dxa"/>
            <w:left w:w="108" w:type="dxa"/>
            <w:bottom w:w="0" w:type="dxa"/>
            <w:right w:w="108" w:type="dxa"/>
          </w:tblCellMar>
        </w:tblPrEx>
        <w:trPr>
          <w:trHeight w:val="464" w:hRule="exact"/>
        </w:trPr>
        <w:tc>
          <w:tcPr>
            <w:tcW w:w="1722" w:type="dxa"/>
            <w:tcBorders>
              <w:top w:val="single" w:color="000000" w:sz="4" w:space="0"/>
              <w:left w:val="single" w:color="000000" w:sz="10" w:space="0"/>
              <w:bottom w:val="single" w:color="000000" w:sz="10" w:space="0"/>
              <w:right w:val="single" w:color="000000" w:sz="4" w:space="0"/>
              <w:tl2br w:val="nil"/>
              <w:tr2bl w:val="nil"/>
            </w:tcBorders>
          </w:tcPr>
          <w:p>
            <w:pPr>
              <w:pStyle w:val="7"/>
              <w:kinsoku w:val="0"/>
              <w:overflowPunct w:val="0"/>
              <w:spacing w:line="389" w:lineRule="exact"/>
              <w:jc w:val="center"/>
              <w:rPr>
                <w:rFonts w:ascii="Times New Roman" w:hAnsi="Times New Roman" w:eastAsia="宋体"/>
                <w:sz w:val="28"/>
              </w:rPr>
            </w:pPr>
          </w:p>
        </w:tc>
        <w:tc>
          <w:tcPr>
            <w:tcW w:w="6936" w:type="dxa"/>
            <w:tcBorders>
              <w:top w:val="single" w:color="000000" w:sz="4" w:space="0"/>
              <w:left w:val="single" w:color="000000" w:sz="4" w:space="0"/>
              <w:bottom w:val="single" w:color="000000" w:sz="10" w:space="0"/>
              <w:right w:val="single" w:color="000000" w:sz="10" w:space="0"/>
              <w:tl2br w:val="nil"/>
              <w:tr2bl w:val="nil"/>
            </w:tcBorders>
          </w:tcPr>
          <w:p>
            <w:pPr>
              <w:rPr>
                <w:sz w:val="24"/>
              </w:rPr>
            </w:pPr>
          </w:p>
        </w:tc>
      </w:tr>
    </w:tbl>
    <w:p>
      <w:pPr>
        <w:pStyle w:val="2"/>
        <w:kinsoku w:val="0"/>
        <w:overflowPunct w:val="0"/>
        <w:spacing w:before="9"/>
        <w:ind w:left="0"/>
        <w:rPr>
          <w:rFonts w:hint="default" w:ascii="Times New Roman" w:hAnsi="Times New Roman" w:eastAsia="Times New Roman"/>
          <w:sz w:val="5"/>
        </w:rPr>
      </w:pPr>
    </w:p>
    <w:p>
      <w:pPr>
        <w:pStyle w:val="2"/>
        <w:kinsoku w:val="0"/>
        <w:overflowPunct w:val="0"/>
        <w:spacing w:line="271" w:lineRule="exact"/>
        <w:rPr>
          <w:rFonts w:hint="default" w:ascii="楷体" w:hAnsi="楷体" w:eastAsia="楷体"/>
          <w:sz w:val="21"/>
        </w:rPr>
      </w:pPr>
      <w:r>
        <w:rPr>
          <w:rFonts w:ascii="楷体" w:hAnsi="楷体" w:eastAsia="楷体"/>
          <w:sz w:val="21"/>
        </w:rPr>
        <w:t>填表说明：</w:t>
      </w:r>
    </w:p>
    <w:p>
      <w:pPr>
        <w:pStyle w:val="2"/>
        <w:kinsoku w:val="0"/>
        <w:overflowPunct w:val="0"/>
        <w:spacing w:before="9" w:line="247" w:lineRule="auto"/>
        <w:rPr>
          <w:rFonts w:hint="default" w:ascii="楷体" w:hAnsi="楷体" w:eastAsia="楷体"/>
          <w:w w:val="95"/>
          <w:sz w:val="21"/>
        </w:rPr>
      </w:pPr>
      <w:r>
        <w:rPr>
          <w:rFonts w:hint="default" w:ascii="楷体" w:hAnsi="楷体" w:eastAsia="楷体"/>
          <w:w w:val="95"/>
          <w:sz w:val="21"/>
        </w:rPr>
        <w:t>1.</w:t>
      </w:r>
      <w:r>
        <w:rPr>
          <w:rFonts w:ascii="楷体" w:hAnsi="楷体" w:eastAsia="楷体"/>
          <w:w w:val="95"/>
          <w:sz w:val="21"/>
        </w:rPr>
        <w:t>此表由部门员工填写自四川省启动突发公共卫生事件Ⅰ级响应之日（1月24日）以来的活动轨迹情况，交本部门负责人留存备查；</w:t>
      </w:r>
    </w:p>
    <w:p>
      <w:pPr>
        <w:pStyle w:val="2"/>
        <w:kinsoku w:val="0"/>
        <w:overflowPunct w:val="0"/>
        <w:spacing w:before="9" w:line="247" w:lineRule="auto"/>
        <w:rPr>
          <w:rFonts w:ascii="仿宋" w:hAnsi="仿宋" w:eastAsia="仿宋" w:cs="仿宋"/>
          <w:szCs w:val="32"/>
        </w:rPr>
      </w:pPr>
      <w:r>
        <w:rPr>
          <w:rFonts w:hint="default" w:ascii="Times New Roman" w:hAnsi="Times New Roman" w:eastAsia="Times New Roman"/>
          <w:spacing w:val="-2"/>
          <w:sz w:val="21"/>
        </w:rPr>
        <w:t>2.</w:t>
      </w:r>
      <w:r>
        <w:rPr>
          <w:rFonts w:ascii="楷体" w:hAnsi="楷体" w:eastAsia="楷体"/>
          <w:spacing w:val="-2"/>
          <w:sz w:val="21"/>
        </w:rPr>
        <w:t>有下列情况，请如实填写。一是症状：</w:t>
      </w:r>
      <w:r>
        <w:rPr>
          <w:spacing w:val="-2"/>
          <w:sz w:val="21"/>
        </w:rPr>
        <w:t>①</w:t>
      </w:r>
      <w:r>
        <w:rPr>
          <w:rFonts w:ascii="楷体" w:hAnsi="楷体" w:eastAsia="楷体"/>
          <w:spacing w:val="-2"/>
          <w:sz w:val="21"/>
        </w:rPr>
        <w:t>发热（</w:t>
      </w:r>
      <w:r>
        <w:rPr>
          <w:rFonts w:hint="default" w:ascii="Times New Roman" w:hAnsi="Times New Roman" w:eastAsia="Times New Roman"/>
          <w:spacing w:val="-2"/>
          <w:sz w:val="21"/>
        </w:rPr>
        <w:t>≥37.3</w:t>
      </w:r>
      <w:r>
        <w:rPr>
          <w:spacing w:val="-2"/>
          <w:sz w:val="21"/>
        </w:rPr>
        <w:t>℃</w:t>
      </w:r>
      <w:r>
        <w:rPr>
          <w:rFonts w:ascii="楷体" w:hAnsi="楷体" w:eastAsia="楷体"/>
          <w:spacing w:val="-2"/>
          <w:sz w:val="21"/>
        </w:rPr>
        <w:t>）</w:t>
      </w:r>
      <w:r>
        <w:rPr>
          <w:spacing w:val="-2"/>
          <w:sz w:val="21"/>
        </w:rPr>
        <w:t>②</w:t>
      </w:r>
      <w:r>
        <w:rPr>
          <w:rFonts w:ascii="楷体" w:hAnsi="楷体" w:eastAsia="楷体"/>
          <w:spacing w:val="-2"/>
          <w:sz w:val="21"/>
        </w:rPr>
        <w:t>咳嗽</w:t>
      </w:r>
      <w:r>
        <w:rPr>
          <w:spacing w:val="-2"/>
          <w:sz w:val="21"/>
        </w:rPr>
        <w:t>③</w:t>
      </w:r>
      <w:r>
        <w:rPr>
          <w:rFonts w:ascii="楷体" w:hAnsi="楷体" w:eastAsia="楷体"/>
          <w:spacing w:val="-2"/>
          <w:sz w:val="21"/>
        </w:rPr>
        <w:t>嗓子痛（喉咙痛）</w:t>
      </w:r>
      <w:r>
        <w:rPr>
          <w:spacing w:val="-2"/>
          <w:sz w:val="21"/>
        </w:rPr>
        <w:t>④</w:t>
      </w:r>
      <w:r>
        <w:rPr>
          <w:rFonts w:ascii="楷体" w:hAnsi="楷体" w:eastAsia="楷体"/>
          <w:spacing w:val="-2"/>
          <w:sz w:val="21"/>
        </w:rPr>
        <w:t>肌肉</w:t>
      </w:r>
      <w:r>
        <w:rPr>
          <w:rFonts w:ascii="楷体" w:hAnsi="楷体" w:eastAsia="楷体"/>
          <w:sz w:val="21"/>
        </w:rPr>
        <w:t>痛和关节痛</w:t>
      </w:r>
      <w:r>
        <w:rPr>
          <w:sz w:val="21"/>
        </w:rPr>
        <w:t>⑤</w:t>
      </w:r>
      <w:r>
        <w:rPr>
          <w:rFonts w:ascii="楷体" w:hAnsi="楷体" w:eastAsia="楷体"/>
          <w:sz w:val="21"/>
        </w:rPr>
        <w:t>鼻塞</w:t>
      </w:r>
      <w:r>
        <w:rPr>
          <w:sz w:val="21"/>
        </w:rPr>
        <w:t>⑥</w:t>
      </w:r>
      <w:r>
        <w:rPr>
          <w:rFonts w:ascii="楷体" w:hAnsi="楷体" w:eastAsia="楷体"/>
          <w:sz w:val="21"/>
        </w:rPr>
        <w:t>头痛</w:t>
      </w:r>
      <w:r>
        <w:rPr>
          <w:sz w:val="21"/>
        </w:rPr>
        <w:t>⑦</w:t>
      </w:r>
      <w:r>
        <w:rPr>
          <w:rFonts w:ascii="楷体" w:hAnsi="楷体" w:eastAsia="楷体"/>
          <w:sz w:val="21"/>
        </w:rPr>
        <w:t>流鼻涕</w:t>
      </w:r>
      <w:r>
        <w:rPr>
          <w:sz w:val="21"/>
        </w:rPr>
        <w:t>⑧</w:t>
      </w:r>
      <w:r>
        <w:rPr>
          <w:rFonts w:ascii="楷体" w:hAnsi="楷体" w:eastAsia="楷体"/>
          <w:sz w:val="21"/>
        </w:rPr>
        <w:t>呼吸困难</w:t>
      </w:r>
      <w:r>
        <w:rPr>
          <w:sz w:val="21"/>
        </w:rPr>
        <w:t>⑨</w:t>
      </w:r>
      <w:r>
        <w:rPr>
          <w:rFonts w:ascii="楷体" w:hAnsi="楷体" w:eastAsia="楷体"/>
          <w:sz w:val="21"/>
        </w:rPr>
        <w:t>乏力</w:t>
      </w:r>
      <w:r>
        <w:rPr>
          <w:sz w:val="21"/>
        </w:rPr>
        <w:t>⑩</w:t>
      </w:r>
      <w:r>
        <w:rPr>
          <w:rFonts w:ascii="楷体" w:hAnsi="楷体" w:eastAsia="楷体"/>
          <w:sz w:val="21"/>
        </w:rPr>
        <w:t>无上述症状。二是过去</w:t>
      </w:r>
      <w:r>
        <w:rPr>
          <w:rFonts w:ascii="楷体" w:hAnsi="楷体" w:eastAsia="楷体"/>
          <w:spacing w:val="-45"/>
          <w:sz w:val="21"/>
        </w:rPr>
        <w:t xml:space="preserve"> </w:t>
      </w:r>
      <w:r>
        <w:rPr>
          <w:rFonts w:hint="default" w:ascii="Times New Roman" w:hAnsi="Times New Roman" w:eastAsia="Times New Roman"/>
          <w:sz w:val="21"/>
        </w:rPr>
        <w:t>14</w:t>
      </w:r>
      <w:r>
        <w:rPr>
          <w:rFonts w:hint="default" w:ascii="Times New Roman" w:hAnsi="Times New Roman" w:eastAsia="Times New Roman"/>
          <w:spacing w:val="10"/>
          <w:sz w:val="21"/>
        </w:rPr>
        <w:t xml:space="preserve"> </w:t>
      </w:r>
      <w:r>
        <w:rPr>
          <w:rFonts w:ascii="楷体" w:hAnsi="楷体" w:eastAsia="楷体"/>
          <w:sz w:val="21"/>
        </w:rPr>
        <w:t>天内接触过具有</w:t>
      </w:r>
      <w:r>
        <w:rPr>
          <w:rFonts w:ascii="楷体" w:hAnsi="楷体" w:eastAsia="楷体"/>
          <w:spacing w:val="-3"/>
          <w:sz w:val="21"/>
        </w:rPr>
        <w:t>上述症状的人员；三是过去</w:t>
      </w:r>
      <w:r>
        <w:rPr>
          <w:rFonts w:ascii="楷体" w:hAnsi="楷体" w:eastAsia="楷体"/>
          <w:spacing w:val="-63"/>
          <w:sz w:val="21"/>
        </w:rPr>
        <w:t xml:space="preserve"> </w:t>
      </w:r>
      <w:r>
        <w:rPr>
          <w:rFonts w:hint="default" w:ascii="Times New Roman" w:hAnsi="Times New Roman" w:eastAsia="Times New Roman"/>
          <w:sz w:val="21"/>
        </w:rPr>
        <w:t>14</w:t>
      </w:r>
      <w:r>
        <w:rPr>
          <w:rFonts w:hint="default" w:ascii="Times New Roman" w:hAnsi="Times New Roman" w:eastAsia="Times New Roman"/>
          <w:spacing w:val="-10"/>
          <w:sz w:val="21"/>
        </w:rPr>
        <w:t xml:space="preserve"> </w:t>
      </w:r>
      <w:r>
        <w:rPr>
          <w:rFonts w:ascii="楷体" w:hAnsi="楷体" w:eastAsia="楷体"/>
          <w:sz w:val="21"/>
        </w:rPr>
        <w:t>天内是否有到武汉及其它疫情高发地区旅行或居住；四是过去</w:t>
      </w:r>
      <w:r>
        <w:rPr>
          <w:rFonts w:ascii="楷体" w:hAnsi="楷体" w:eastAsia="楷体"/>
          <w:spacing w:val="-63"/>
          <w:sz w:val="21"/>
        </w:rPr>
        <w:t xml:space="preserve"> </w:t>
      </w:r>
      <w:r>
        <w:rPr>
          <w:rFonts w:hint="default" w:ascii="Times New Roman" w:hAnsi="Times New Roman" w:eastAsia="Times New Roman"/>
          <w:sz w:val="21"/>
        </w:rPr>
        <w:t>14</w:t>
      </w:r>
      <w:r>
        <w:rPr>
          <w:rFonts w:ascii="楷体" w:hAnsi="楷体" w:eastAsia="楷体"/>
          <w:sz w:val="21"/>
        </w:rPr>
        <w:t>天</w:t>
      </w:r>
      <w:r>
        <w:rPr>
          <w:rFonts w:ascii="楷体" w:hAnsi="楷体" w:eastAsia="楷体"/>
          <w:w w:val="95"/>
          <w:sz w:val="21"/>
        </w:rPr>
        <w:t>内是否接触过武汉及其它疫情高发地区人员；五是所在居住小区曾有确诊患者停留的；六是处置情况：</w:t>
      </w:r>
      <w:r>
        <w:rPr>
          <w:w w:val="95"/>
          <w:sz w:val="21"/>
        </w:rPr>
        <w:t>①</w:t>
      </w:r>
      <w:r>
        <w:rPr>
          <w:rFonts w:ascii="楷体" w:hAnsi="楷体" w:eastAsia="楷体"/>
          <w:w w:val="95"/>
          <w:sz w:val="21"/>
        </w:rPr>
        <w:t>居家隔离</w:t>
      </w:r>
      <w:r>
        <w:rPr>
          <w:w w:val="95"/>
          <w:sz w:val="21"/>
        </w:rPr>
        <w:t>②</w:t>
      </w:r>
      <w:r>
        <w:rPr>
          <w:rFonts w:ascii="楷体" w:hAnsi="楷体" w:eastAsia="楷体"/>
          <w:w w:val="95"/>
          <w:sz w:val="21"/>
        </w:rPr>
        <w:t>医学隔离</w:t>
      </w:r>
      <w:r>
        <w:rPr>
          <w:w w:val="95"/>
          <w:sz w:val="21"/>
        </w:rPr>
        <w:t>③</w:t>
      </w:r>
      <w:r>
        <w:rPr>
          <w:rFonts w:ascii="楷体" w:hAnsi="楷体" w:eastAsia="楷体"/>
          <w:w w:val="95"/>
          <w:sz w:val="21"/>
        </w:rPr>
        <w:t>住院治疗。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388"/>
    <w:rsid w:val="000F29C6"/>
    <w:rsid w:val="00172A27"/>
    <w:rsid w:val="003F5773"/>
    <w:rsid w:val="00A85F85"/>
    <w:rsid w:val="00C85645"/>
    <w:rsid w:val="00D0527D"/>
    <w:rsid w:val="05DC5A6D"/>
    <w:rsid w:val="07B56F5C"/>
    <w:rsid w:val="083E03A3"/>
    <w:rsid w:val="0C8C24AD"/>
    <w:rsid w:val="0D697353"/>
    <w:rsid w:val="0E585D8C"/>
    <w:rsid w:val="0E81355F"/>
    <w:rsid w:val="12B14CBA"/>
    <w:rsid w:val="13DF5EE1"/>
    <w:rsid w:val="14087198"/>
    <w:rsid w:val="162E7D5D"/>
    <w:rsid w:val="1A321163"/>
    <w:rsid w:val="1BD131C2"/>
    <w:rsid w:val="1C917D15"/>
    <w:rsid w:val="1F827F1C"/>
    <w:rsid w:val="201D0C7E"/>
    <w:rsid w:val="281A47D4"/>
    <w:rsid w:val="288C3177"/>
    <w:rsid w:val="2AFD1C1A"/>
    <w:rsid w:val="30484D08"/>
    <w:rsid w:val="30606B7D"/>
    <w:rsid w:val="3296004F"/>
    <w:rsid w:val="34E453FC"/>
    <w:rsid w:val="373D5FF5"/>
    <w:rsid w:val="391B1333"/>
    <w:rsid w:val="3B071F9D"/>
    <w:rsid w:val="3C1C7895"/>
    <w:rsid w:val="3CE96672"/>
    <w:rsid w:val="3DCD7BE5"/>
    <w:rsid w:val="438D12AC"/>
    <w:rsid w:val="4700493B"/>
    <w:rsid w:val="47E67DCA"/>
    <w:rsid w:val="49854778"/>
    <w:rsid w:val="4A3A039B"/>
    <w:rsid w:val="4C537F93"/>
    <w:rsid w:val="4D327337"/>
    <w:rsid w:val="51F825E2"/>
    <w:rsid w:val="5262778D"/>
    <w:rsid w:val="52713B13"/>
    <w:rsid w:val="52972EF2"/>
    <w:rsid w:val="53605F89"/>
    <w:rsid w:val="56F26D04"/>
    <w:rsid w:val="59B42325"/>
    <w:rsid w:val="5A8A6C45"/>
    <w:rsid w:val="5EDC7A52"/>
    <w:rsid w:val="5FC20AED"/>
    <w:rsid w:val="5FCF3B10"/>
    <w:rsid w:val="60826E0A"/>
    <w:rsid w:val="60C25A02"/>
    <w:rsid w:val="60FD53B1"/>
    <w:rsid w:val="64290402"/>
    <w:rsid w:val="645F416E"/>
    <w:rsid w:val="66B41CBB"/>
    <w:rsid w:val="6C540ED5"/>
    <w:rsid w:val="6D8233AF"/>
    <w:rsid w:val="71C1524B"/>
    <w:rsid w:val="740E110F"/>
    <w:rsid w:val="757F5FAD"/>
    <w:rsid w:val="76AE1771"/>
    <w:rsid w:val="76E13B7D"/>
    <w:rsid w:val="79A87CE0"/>
    <w:rsid w:val="79CE2B18"/>
    <w:rsid w:val="7A6145F7"/>
    <w:rsid w:val="7CDD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1"/>
    <w:pPr>
      <w:ind w:left="113"/>
    </w:pPr>
    <w:rPr>
      <w:rFonts w:hint="eastAsia" w:ascii="宋体" w:hAnsi="宋体" w:eastAsia="宋体"/>
      <w:sz w:val="32"/>
    </w:rPr>
  </w:style>
  <w:style w:type="paragraph" w:styleId="3">
    <w:name w:val="Date"/>
    <w:basedOn w:val="1"/>
    <w:next w:val="1"/>
    <w:link w:val="9"/>
    <w:uiPriority w:val="0"/>
    <w:pPr>
      <w:ind w:left="100" w:leftChars="2500"/>
    </w:pPr>
  </w:style>
  <w:style w:type="character" w:styleId="5">
    <w:name w:val="Strong"/>
    <w:basedOn w:val="4"/>
    <w:qFormat/>
    <w:uiPriority w:val="0"/>
    <w:rPr>
      <w:b/>
    </w:rPr>
  </w:style>
  <w:style w:type="paragraph" w:customStyle="1" w:styleId="7">
    <w:name w:val="Table Paragraph"/>
    <w:basedOn w:val="1"/>
    <w:unhideWhenUsed/>
    <w:qFormat/>
    <w:uiPriority w:val="1"/>
    <w:rPr>
      <w:sz w:val="24"/>
    </w:rPr>
  </w:style>
  <w:style w:type="paragraph" w:styleId="8">
    <w:name w:val="List Paragraph"/>
    <w:basedOn w:val="1"/>
    <w:unhideWhenUsed/>
    <w:qFormat/>
    <w:uiPriority w:val="99"/>
    <w:pPr>
      <w:ind w:firstLine="420" w:firstLineChars="200"/>
    </w:pPr>
  </w:style>
  <w:style w:type="character" w:customStyle="1" w:styleId="9">
    <w:name w:val="日期 Char"/>
    <w:basedOn w:val="4"/>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894</Characters>
  <Lines>7</Lines>
  <Paragraphs>2</Paragraphs>
  <TotalTime>3</TotalTime>
  <ScaleCrop>false</ScaleCrop>
  <LinksUpToDate>false</LinksUpToDate>
  <CharactersWithSpaces>1048</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2020-02-18T03:53:00Z</dcterms:created>
  <dc:creator>ThinkPad</dc:creator>
  <cp:lastModifiedBy>罗永平</cp:lastModifiedBy>
  <dcterms:modified xsi:type="dcterms:W3CDTF">2020-02-18T11:19:30Z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