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4F" w:rsidRDefault="005C0264" w:rsidP="003E534F">
      <w:pPr>
        <w:spacing w:line="820" w:lineRule="exact"/>
        <w:jc w:val="center"/>
        <w:rPr>
          <w:rFonts w:ascii="黑体" w:eastAsia="黑体" w:hAnsi="宋体"/>
          <w:sz w:val="28"/>
          <w:szCs w:val="28"/>
        </w:rPr>
      </w:pPr>
      <w:r>
        <w:rPr>
          <w:rFonts w:ascii="黑体" w:eastAsia="黑体" w:hAnsi="宋体" w:hint="eastAsia"/>
          <w:sz w:val="28"/>
          <w:szCs w:val="28"/>
        </w:rPr>
        <w:t>“川网国际花园”项目10KV高压进线电缆正式用电接入工程施工</w:t>
      </w:r>
    </w:p>
    <w:p w:rsidR="005C0264" w:rsidRDefault="005C0264" w:rsidP="003E534F">
      <w:pPr>
        <w:spacing w:line="820" w:lineRule="exact"/>
        <w:jc w:val="center"/>
        <w:rPr>
          <w:rFonts w:ascii="黑体" w:eastAsia="黑体" w:hAnsi="宋体"/>
          <w:sz w:val="28"/>
          <w:szCs w:val="28"/>
        </w:rPr>
      </w:pPr>
      <w:r>
        <w:rPr>
          <w:rFonts w:ascii="黑体" w:eastAsia="黑体" w:hAnsi="宋体" w:hint="eastAsia"/>
          <w:sz w:val="28"/>
          <w:szCs w:val="28"/>
        </w:rPr>
        <w:t>比选公告</w:t>
      </w:r>
    </w:p>
    <w:p w:rsidR="005C0264" w:rsidRDefault="005C0264" w:rsidP="003E534F">
      <w:pPr>
        <w:spacing w:line="480" w:lineRule="exact"/>
        <w:ind w:firstLineChars="179" w:firstLine="430"/>
        <w:rPr>
          <w:rFonts w:ascii="仿宋_GB2312" w:eastAsia="仿宋_GB2312" w:hAnsi="宋体"/>
          <w:b/>
          <w:sz w:val="24"/>
        </w:rPr>
      </w:pPr>
      <w:bookmarkStart w:id="0" w:name="_Toc185047237"/>
      <w:r>
        <w:rPr>
          <w:rFonts w:ascii="仿宋_GB2312" w:eastAsia="仿宋_GB2312" w:hAnsi="宋体" w:hint="eastAsia"/>
          <w:b/>
          <w:sz w:val="24"/>
        </w:rPr>
        <w:t>1．比选条件</w:t>
      </w:r>
      <w:bookmarkEnd w:id="0"/>
    </w:p>
    <w:p w:rsidR="005C0264" w:rsidRDefault="005C0264" w:rsidP="003E534F">
      <w:pPr>
        <w:tabs>
          <w:tab w:val="left" w:pos="0"/>
          <w:tab w:val="left" w:pos="142"/>
        </w:tabs>
        <w:spacing w:line="480" w:lineRule="exact"/>
        <w:jc w:val="left"/>
        <w:rPr>
          <w:rFonts w:ascii="仿宋_GB2312" w:eastAsia="仿宋_GB2312" w:hAnsi="宋体"/>
          <w:sz w:val="24"/>
        </w:rPr>
      </w:pPr>
      <w:bookmarkStart w:id="1" w:name="_Toc185047238"/>
      <w:r>
        <w:rPr>
          <w:rFonts w:ascii="仿宋_GB2312" w:eastAsia="仿宋_GB2312" w:hAnsi="宋体" w:hint="eastAsia"/>
          <w:sz w:val="24"/>
        </w:rPr>
        <w:t xml:space="preserve">   1.1“</w:t>
      </w:r>
      <w:r>
        <w:rPr>
          <w:rFonts w:ascii="仿宋_GB2312" w:eastAsia="仿宋_GB2312" w:hAnsi="宋体" w:hint="eastAsia"/>
          <w:sz w:val="24"/>
          <w:u w:val="single"/>
        </w:rPr>
        <w:t>川网国际花园”工程</w:t>
      </w:r>
      <w:r>
        <w:rPr>
          <w:rFonts w:ascii="仿宋_GB2312" w:eastAsia="仿宋_GB2312" w:hAnsi="宋体" w:hint="eastAsia"/>
          <w:sz w:val="24"/>
        </w:rPr>
        <w:t>已由</w:t>
      </w:r>
      <w:r w:rsidR="00C16E7C">
        <w:rPr>
          <w:rFonts w:ascii="仿宋_GB2312" w:eastAsia="仿宋_GB2312" w:hAnsi="宋体" w:hint="eastAsia"/>
          <w:sz w:val="24"/>
          <w:u w:val="single"/>
        </w:rPr>
        <w:t>双流区</w:t>
      </w:r>
      <w:r>
        <w:rPr>
          <w:rFonts w:ascii="仿宋_GB2312" w:eastAsia="仿宋_GB2312" w:hAnsi="宋体" w:hint="eastAsia"/>
          <w:sz w:val="24"/>
          <w:u w:val="single"/>
        </w:rPr>
        <w:t>发展和改革局</w:t>
      </w:r>
      <w:r>
        <w:rPr>
          <w:rFonts w:ascii="仿宋_GB2312" w:eastAsia="仿宋_GB2312" w:hAnsi="宋体" w:hint="eastAsia"/>
          <w:sz w:val="24"/>
        </w:rPr>
        <w:t>批准建设，项目业主为</w:t>
      </w:r>
      <w:r>
        <w:rPr>
          <w:rFonts w:ascii="仿宋_GB2312" w:eastAsia="仿宋_GB2312" w:hAnsi="宋体" w:hint="eastAsia"/>
          <w:sz w:val="24"/>
          <w:u w:val="single"/>
        </w:rPr>
        <w:t xml:space="preserve">四川川投国际网球中心开发有限责任公司 </w:t>
      </w:r>
      <w:r>
        <w:rPr>
          <w:rFonts w:ascii="仿宋_GB2312" w:eastAsia="仿宋_GB2312" w:hAnsi="宋体" w:hint="eastAsia"/>
          <w:sz w:val="24"/>
        </w:rPr>
        <w:t>，建设资金来自</w:t>
      </w:r>
      <w:r>
        <w:rPr>
          <w:rFonts w:ascii="仿宋_GB2312" w:eastAsia="仿宋_GB2312" w:hAnsi="宋体" w:hint="eastAsia"/>
          <w:sz w:val="24"/>
          <w:u w:val="single"/>
        </w:rPr>
        <w:t>企业自筹（国家非政府投资）</w:t>
      </w:r>
      <w:r>
        <w:rPr>
          <w:rFonts w:ascii="仿宋_GB2312" w:eastAsia="仿宋_GB2312" w:hAnsi="宋体" w:hint="eastAsia"/>
          <w:sz w:val="24"/>
        </w:rPr>
        <w:t>，项目出资比例为 100%。该项目10KV高压进线电缆正式用电接入工程施工已具备比选条件，项目业主决定对该项目10KV高压进线电缆正式用电接入工程施工进行公开比选。</w:t>
      </w:r>
    </w:p>
    <w:p w:rsidR="005C0264" w:rsidRDefault="005C0264" w:rsidP="003E534F">
      <w:pPr>
        <w:spacing w:line="480" w:lineRule="exact"/>
        <w:ind w:firstLineChars="179" w:firstLine="43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b/>
          <w:sz w:val="24"/>
        </w:rPr>
        <w:t>项目概况与比选范围</w:t>
      </w:r>
      <w:bookmarkEnd w:id="1"/>
    </w:p>
    <w:p w:rsidR="005C0264" w:rsidRDefault="005C0264" w:rsidP="003E534F">
      <w:pPr>
        <w:tabs>
          <w:tab w:val="left" w:pos="4256"/>
        </w:tabs>
        <w:spacing w:line="480" w:lineRule="exact"/>
        <w:ind w:firstLineChars="179" w:firstLine="430"/>
        <w:rPr>
          <w:rFonts w:ascii="仿宋_GB2312" w:eastAsia="仿宋_GB2312" w:hAnsi="宋体"/>
          <w:b/>
          <w:sz w:val="24"/>
        </w:rPr>
      </w:pPr>
      <w:bookmarkStart w:id="2" w:name="_Toc185047239"/>
      <w:r>
        <w:rPr>
          <w:rFonts w:ascii="仿宋_GB2312" w:eastAsia="仿宋_GB2312" w:hAnsi="宋体" w:hint="eastAsia"/>
          <w:b/>
          <w:sz w:val="24"/>
        </w:rPr>
        <w:t>2.1建设概况：</w:t>
      </w:r>
    </w:p>
    <w:tbl>
      <w:tblPr>
        <w:tblpPr w:leftFromText="180" w:rightFromText="180" w:vertAnchor="text" w:horzAnchor="margin" w:tblpXSpec="center" w:tblpY="77"/>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6838"/>
      </w:tblGrid>
      <w:tr w:rsidR="005C0264" w:rsidTr="005C0264">
        <w:trPr>
          <w:trHeight w:val="455"/>
        </w:trPr>
        <w:tc>
          <w:tcPr>
            <w:tcW w:w="2088"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jc w:val="center"/>
              <w:rPr>
                <w:rFonts w:ascii="仿宋_GB2312" w:eastAsia="仿宋_GB2312" w:hAnsi="宋体"/>
                <w:sz w:val="24"/>
              </w:rPr>
            </w:pPr>
            <w:r>
              <w:rPr>
                <w:rFonts w:ascii="仿宋_GB2312" w:eastAsia="仿宋_GB2312" w:hAnsi="宋体" w:hint="eastAsia"/>
                <w:sz w:val="24"/>
              </w:rPr>
              <w:t>比选人</w:t>
            </w:r>
          </w:p>
        </w:tc>
        <w:tc>
          <w:tcPr>
            <w:tcW w:w="6840"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ind w:firstLineChars="179" w:firstLine="430"/>
              <w:jc w:val="center"/>
              <w:rPr>
                <w:rFonts w:ascii="仿宋_GB2312" w:eastAsia="仿宋_GB2312" w:hAnsi="宋体"/>
                <w:sz w:val="24"/>
              </w:rPr>
            </w:pPr>
            <w:r>
              <w:rPr>
                <w:rFonts w:ascii="仿宋_GB2312" w:eastAsia="仿宋_GB2312" w:hAnsi="宋体" w:hint="eastAsia"/>
                <w:sz w:val="24"/>
              </w:rPr>
              <w:t>四川川投国际网球中心开发有限责任公司</w:t>
            </w:r>
          </w:p>
        </w:tc>
      </w:tr>
      <w:tr w:rsidR="005C0264" w:rsidTr="005C0264">
        <w:trPr>
          <w:trHeight w:val="453"/>
        </w:trPr>
        <w:tc>
          <w:tcPr>
            <w:tcW w:w="2088"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jc w:val="center"/>
              <w:rPr>
                <w:rFonts w:ascii="仿宋_GB2312" w:eastAsia="仿宋_GB2312" w:hAnsi="宋体"/>
                <w:sz w:val="24"/>
              </w:rPr>
            </w:pPr>
            <w:r>
              <w:rPr>
                <w:rFonts w:ascii="仿宋_GB2312" w:eastAsia="仿宋_GB2312" w:hAnsi="宋体" w:hint="eastAsia"/>
                <w:sz w:val="24"/>
              </w:rPr>
              <w:t>工程名称</w:t>
            </w:r>
          </w:p>
        </w:tc>
        <w:tc>
          <w:tcPr>
            <w:tcW w:w="6840"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ind w:firstLineChars="179" w:firstLine="430"/>
              <w:jc w:val="center"/>
              <w:rPr>
                <w:rFonts w:ascii="仿宋_GB2312" w:eastAsia="仿宋_GB2312" w:hAnsi="宋体"/>
                <w:sz w:val="24"/>
              </w:rPr>
            </w:pPr>
            <w:r>
              <w:rPr>
                <w:rFonts w:ascii="仿宋_GB2312" w:eastAsia="仿宋_GB2312" w:hAnsi="宋体" w:cs="Arial" w:hint="eastAsia"/>
                <w:sz w:val="24"/>
              </w:rPr>
              <w:t>“川网国际花园”工程</w:t>
            </w:r>
          </w:p>
        </w:tc>
      </w:tr>
      <w:tr w:rsidR="005C0264" w:rsidTr="005C0264">
        <w:trPr>
          <w:trHeight w:val="462"/>
        </w:trPr>
        <w:tc>
          <w:tcPr>
            <w:tcW w:w="2088"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jc w:val="center"/>
              <w:rPr>
                <w:rFonts w:ascii="仿宋_GB2312" w:eastAsia="仿宋_GB2312" w:hAnsi="宋体"/>
                <w:sz w:val="24"/>
              </w:rPr>
            </w:pPr>
            <w:r>
              <w:rPr>
                <w:rFonts w:ascii="仿宋_GB2312" w:eastAsia="仿宋_GB2312" w:hAnsi="宋体" w:hint="eastAsia"/>
                <w:sz w:val="24"/>
              </w:rPr>
              <w:t>建设地点</w:t>
            </w:r>
          </w:p>
        </w:tc>
        <w:tc>
          <w:tcPr>
            <w:tcW w:w="6840"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ind w:firstLineChars="179" w:firstLine="430"/>
              <w:jc w:val="center"/>
              <w:rPr>
                <w:rFonts w:ascii="仿宋_GB2312" w:eastAsia="仿宋_GB2312" w:hAnsi="宋体"/>
                <w:sz w:val="24"/>
              </w:rPr>
            </w:pPr>
            <w:r>
              <w:rPr>
                <w:rFonts w:ascii="仿宋_GB2312" w:eastAsia="仿宋_GB2312" w:hAnsi="宋体" w:hint="eastAsia"/>
                <w:sz w:val="24"/>
              </w:rPr>
              <w:t>成都市双流县东升镇白衣上街266号</w:t>
            </w:r>
          </w:p>
        </w:tc>
      </w:tr>
      <w:tr w:rsidR="005C0264" w:rsidTr="005C0264">
        <w:trPr>
          <w:trHeight w:val="449"/>
        </w:trPr>
        <w:tc>
          <w:tcPr>
            <w:tcW w:w="2088"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jc w:val="center"/>
              <w:rPr>
                <w:rFonts w:ascii="仿宋_GB2312" w:eastAsia="仿宋_GB2312" w:hAnsi="宋体"/>
                <w:sz w:val="24"/>
              </w:rPr>
            </w:pPr>
            <w:r>
              <w:rPr>
                <w:rFonts w:ascii="仿宋_GB2312" w:eastAsia="仿宋_GB2312" w:hAnsi="宋体" w:hint="eastAsia"/>
                <w:sz w:val="24"/>
              </w:rPr>
              <w:t>建筑面积</w:t>
            </w:r>
          </w:p>
        </w:tc>
        <w:tc>
          <w:tcPr>
            <w:tcW w:w="6840"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rPr>
                <w:rFonts w:ascii="仿宋_GB2312" w:eastAsia="仿宋_GB2312" w:hAnsi="宋体"/>
                <w:sz w:val="24"/>
              </w:rPr>
            </w:pPr>
            <w:r>
              <w:rPr>
                <w:rFonts w:ascii="仿宋_GB2312" w:eastAsia="仿宋_GB2312" w:hAnsi="宋体" w:hint="eastAsia"/>
                <w:sz w:val="24"/>
              </w:rPr>
              <w:t>约66.19万</w:t>
            </w:r>
            <w:r>
              <w:rPr>
                <w:rFonts w:ascii="宋体" w:hAnsi="宋体" w:cs="宋体" w:hint="eastAsia"/>
                <w:sz w:val="24"/>
              </w:rPr>
              <w:t>㎡</w:t>
            </w:r>
            <w:r>
              <w:rPr>
                <w:rFonts w:ascii="仿宋_GB2312" w:eastAsia="仿宋_GB2312" w:hAnsi="宋体" w:hint="eastAsia"/>
                <w:sz w:val="24"/>
              </w:rPr>
              <w:t>（具体面积以规划许可证标注面积为准）,分期实施</w:t>
            </w:r>
          </w:p>
        </w:tc>
      </w:tr>
    </w:tbl>
    <w:p w:rsidR="005C0264" w:rsidRDefault="005C0264" w:rsidP="003E534F">
      <w:pPr>
        <w:tabs>
          <w:tab w:val="left" w:pos="4256"/>
        </w:tabs>
        <w:spacing w:line="480" w:lineRule="exact"/>
        <w:ind w:firstLineChars="179" w:firstLine="430"/>
        <w:rPr>
          <w:rFonts w:ascii="仿宋_GB2312" w:eastAsia="仿宋_GB2312" w:hAnsi="宋体"/>
          <w:b/>
          <w:sz w:val="24"/>
        </w:rPr>
      </w:pPr>
      <w:r>
        <w:rPr>
          <w:rFonts w:ascii="仿宋_GB2312" w:eastAsia="仿宋_GB2312" w:hAnsi="宋体" w:hint="eastAsia"/>
          <w:b/>
          <w:sz w:val="24"/>
        </w:rPr>
        <w:t xml:space="preserve">2.2比选范围： </w:t>
      </w:r>
    </w:p>
    <w:p w:rsidR="005C0264" w:rsidRDefault="005C0264" w:rsidP="003E534F">
      <w:pPr>
        <w:tabs>
          <w:tab w:val="left" w:pos="4256"/>
        </w:tabs>
        <w:spacing w:line="480" w:lineRule="exact"/>
        <w:ind w:firstLineChars="179" w:firstLine="430"/>
        <w:rPr>
          <w:rFonts w:ascii="仿宋_GB2312" w:eastAsia="仿宋_GB2312" w:hAnsi="宋体"/>
          <w:sz w:val="24"/>
        </w:rPr>
      </w:pPr>
      <w:r>
        <w:rPr>
          <w:rFonts w:ascii="仿宋_GB2312" w:eastAsia="仿宋_GB2312" w:hAnsi="宋体" w:hint="eastAsia"/>
          <w:sz w:val="24"/>
        </w:rPr>
        <w:t>本次比选范围为10KV高压进线电缆正式用电接入工程施工，按一个标段进行比选。具体内容如下：</w:t>
      </w: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08"/>
        <w:gridCol w:w="1933"/>
        <w:gridCol w:w="1360"/>
        <w:gridCol w:w="1680"/>
        <w:gridCol w:w="1416"/>
        <w:gridCol w:w="686"/>
      </w:tblGrid>
      <w:tr w:rsidR="005C0264" w:rsidTr="005C0264">
        <w:trPr>
          <w:trHeight w:val="1282"/>
        </w:trPr>
        <w:tc>
          <w:tcPr>
            <w:tcW w:w="917"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标段</w:t>
            </w:r>
          </w:p>
        </w:tc>
        <w:tc>
          <w:tcPr>
            <w:tcW w:w="1351"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工作内容</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发包范围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服务周期</w:t>
            </w:r>
          </w:p>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（日历天）</w:t>
            </w:r>
          </w:p>
        </w:tc>
        <w:tc>
          <w:tcPr>
            <w:tcW w:w="1755"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控制价说明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控制价（元）</w:t>
            </w:r>
          </w:p>
        </w:tc>
        <w:tc>
          <w:tcPr>
            <w:tcW w:w="705"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b/>
                <w:sz w:val="24"/>
              </w:rPr>
            </w:pPr>
            <w:r>
              <w:rPr>
                <w:rFonts w:ascii="仿宋_GB2312" w:eastAsia="仿宋_GB2312" w:hAnsi="宋体" w:hint="eastAsia"/>
                <w:b/>
                <w:sz w:val="24"/>
              </w:rPr>
              <w:t>备注</w:t>
            </w:r>
          </w:p>
        </w:tc>
      </w:tr>
      <w:tr w:rsidR="005C0264" w:rsidTr="005C0264">
        <w:trPr>
          <w:trHeight w:val="7519"/>
        </w:trPr>
        <w:tc>
          <w:tcPr>
            <w:tcW w:w="917"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仿宋_GB2312" w:eastAsia="仿宋_GB2312" w:hAnsi="宋体"/>
                <w:sz w:val="24"/>
              </w:rPr>
            </w:pPr>
            <w:r>
              <w:rPr>
                <w:rFonts w:ascii="仿宋_GB2312" w:eastAsia="仿宋_GB2312" w:hAnsi="宋体" w:hint="eastAsia"/>
                <w:sz w:val="24"/>
              </w:rPr>
              <w:lastRenderedPageBreak/>
              <w:t>1</w:t>
            </w:r>
          </w:p>
        </w:tc>
        <w:tc>
          <w:tcPr>
            <w:tcW w:w="1351" w:type="dxa"/>
            <w:tcBorders>
              <w:top w:val="single" w:sz="4" w:space="0" w:color="auto"/>
              <w:left w:val="single" w:sz="4" w:space="0" w:color="auto"/>
              <w:bottom w:val="single" w:sz="4" w:space="0" w:color="auto"/>
              <w:right w:val="single" w:sz="4" w:space="0" w:color="auto"/>
            </w:tcBorders>
            <w:vAlign w:val="center"/>
          </w:tcPr>
          <w:p w:rsidR="005C0264" w:rsidRDefault="005C0264" w:rsidP="003E534F">
            <w:pPr>
              <w:spacing w:line="480" w:lineRule="exact"/>
              <w:ind w:firstLineChars="100" w:firstLine="240"/>
              <w:rPr>
                <w:rFonts w:ascii="仿宋" w:eastAsia="仿宋" w:hAnsi="仿宋"/>
                <w:color w:val="FF0000"/>
                <w:sz w:val="28"/>
                <w:szCs w:val="28"/>
              </w:rPr>
            </w:pPr>
            <w:r>
              <w:rPr>
                <w:rFonts w:ascii="仿宋_GB2312" w:eastAsia="仿宋_GB2312" w:hAnsi="宋体" w:hint="eastAsia"/>
                <w:sz w:val="24"/>
              </w:rPr>
              <w:t>“川网国际花园”项目10KV高压进线电缆正式用电接入工程施工</w:t>
            </w:r>
          </w:p>
          <w:p w:rsidR="005C0264" w:rsidRDefault="005C0264" w:rsidP="003E534F">
            <w:pPr>
              <w:tabs>
                <w:tab w:val="left" w:pos="4887"/>
              </w:tabs>
              <w:spacing w:line="480" w:lineRule="exact"/>
              <w:jc w:val="center"/>
              <w:rPr>
                <w:rFonts w:ascii="仿宋_GB2312" w:eastAsia="仿宋_GB2312" w:hAnsi="宋体"/>
                <w:sz w:val="24"/>
              </w:rPr>
            </w:pPr>
          </w:p>
        </w:tc>
        <w:tc>
          <w:tcPr>
            <w:tcW w:w="1985" w:type="dxa"/>
            <w:tcBorders>
              <w:top w:val="single" w:sz="4" w:space="0" w:color="auto"/>
              <w:left w:val="single" w:sz="4" w:space="0" w:color="auto"/>
              <w:bottom w:val="single" w:sz="4" w:space="0" w:color="auto"/>
              <w:right w:val="single" w:sz="4" w:space="0" w:color="auto"/>
            </w:tcBorders>
            <w:hideMark/>
          </w:tcPr>
          <w:p w:rsidR="005C0264" w:rsidRDefault="005C0264" w:rsidP="003E534F">
            <w:pPr>
              <w:snapToGrid w:val="0"/>
              <w:spacing w:line="480" w:lineRule="exact"/>
              <w:rPr>
                <w:rFonts w:ascii="仿宋_GB2312" w:eastAsia="仿宋_GB2312" w:hAnsi="宋体"/>
                <w:sz w:val="24"/>
              </w:rPr>
            </w:pPr>
            <w:r>
              <w:rPr>
                <w:rFonts w:ascii="仿宋_GB2312" w:eastAsia="仿宋_GB2312" w:hAnsi="宋体" w:hint="eastAsia"/>
                <w:sz w:val="24"/>
              </w:rPr>
              <w:t>1、外部电源</w:t>
            </w:r>
            <w:r>
              <w:rPr>
                <w:rFonts w:ascii="仿宋_GB2312" w:eastAsia="仿宋_GB2312" w:hAnsi="Arial" w:cs="Arial" w:hint="eastAsia"/>
                <w:kern w:val="0"/>
                <w:sz w:val="24"/>
              </w:rPr>
              <w:t>由双流</w:t>
            </w:r>
            <w:r>
              <w:rPr>
                <w:rFonts w:ascii="仿宋_GB2312" w:eastAsia="仿宋_GB2312" w:hAnsi="宋体" w:hint="eastAsia"/>
                <w:sz w:val="24"/>
              </w:rPr>
              <w:t>区110kV九江站10kV九网路川投开关站9841间隔引出一回路向“川网国际花园”提供主供电源</w:t>
            </w:r>
            <w:r>
              <w:rPr>
                <w:rFonts w:ascii="仿宋_GB2312" w:eastAsia="仿宋_GB2312" w:hAnsi="Arial" w:cs="Arial" w:hint="eastAsia"/>
                <w:kern w:val="0"/>
                <w:sz w:val="24"/>
              </w:rPr>
              <w:t>，供项目19850kVA变压器正式用电。</w:t>
            </w:r>
          </w:p>
          <w:p w:rsidR="005C0264" w:rsidRDefault="005C0264" w:rsidP="003E534F">
            <w:pPr>
              <w:pStyle w:val="a3"/>
              <w:snapToGrid w:val="0"/>
              <w:spacing w:line="480" w:lineRule="exact"/>
              <w:ind w:firstLineChars="0" w:firstLine="0"/>
              <w:rPr>
                <w:rFonts w:ascii="仿宋_GB2312" w:eastAsia="仿宋_GB2312" w:hAnsi="宋体"/>
                <w:sz w:val="24"/>
                <w:szCs w:val="24"/>
              </w:rPr>
            </w:pPr>
            <w:r>
              <w:rPr>
                <w:rFonts w:ascii="仿宋_GB2312" w:eastAsia="仿宋_GB2312" w:hAnsi="宋体" w:hint="eastAsia"/>
                <w:sz w:val="24"/>
                <w:szCs w:val="24"/>
              </w:rPr>
              <w:t>2、敷设由10KV九网路川投开关站出线环网柜起至“川网国际花园”项目10KV高压进线开关柜止的高压电力电缆（电缆型号规格详见供电局审核通过的施工图）。</w:t>
            </w:r>
          </w:p>
          <w:p w:rsidR="005C0264" w:rsidRDefault="005C0264" w:rsidP="003E534F">
            <w:pPr>
              <w:pStyle w:val="a3"/>
              <w:spacing w:line="480" w:lineRule="exact"/>
              <w:ind w:firstLineChars="0" w:firstLine="0"/>
              <w:rPr>
                <w:rFonts w:ascii="仿宋_GB2312" w:eastAsia="仿宋_GB2312" w:hAnsi="宋体"/>
                <w:sz w:val="24"/>
              </w:rPr>
            </w:pPr>
            <w:r>
              <w:rPr>
                <w:rFonts w:ascii="仿宋_GB2312" w:eastAsia="仿宋_GB2312" w:hAnsi="宋体" w:hint="eastAsia"/>
                <w:sz w:val="24"/>
                <w:szCs w:val="24"/>
              </w:rPr>
              <w:t>3、其他：涵盖在该工程内的应完成的所有相关工作。</w:t>
            </w:r>
          </w:p>
        </w:tc>
        <w:tc>
          <w:tcPr>
            <w:tcW w:w="1417"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spacing w:line="480" w:lineRule="exact"/>
              <w:rPr>
                <w:rFonts w:ascii="仿宋_GB2312" w:eastAsia="仿宋_GB2312" w:hAnsi="宋体"/>
                <w:sz w:val="24"/>
              </w:rPr>
            </w:pPr>
            <w:r>
              <w:rPr>
                <w:rFonts w:ascii="仿宋_GB2312" w:eastAsia="仿宋_GB2312" w:hAnsi="宋体" w:hint="eastAsia"/>
                <w:sz w:val="24"/>
              </w:rPr>
              <w:t>30个日历天</w:t>
            </w:r>
          </w:p>
        </w:tc>
        <w:tc>
          <w:tcPr>
            <w:tcW w:w="1755" w:type="dxa"/>
            <w:tcBorders>
              <w:top w:val="single" w:sz="4" w:space="0" w:color="auto"/>
              <w:left w:val="single" w:sz="4" w:space="0" w:color="auto"/>
              <w:bottom w:val="single" w:sz="4" w:space="0" w:color="auto"/>
              <w:right w:val="single" w:sz="4" w:space="0" w:color="auto"/>
            </w:tcBorders>
            <w:vAlign w:val="center"/>
          </w:tcPr>
          <w:p w:rsidR="005C0264" w:rsidRDefault="005C0264" w:rsidP="003E534F">
            <w:pPr>
              <w:spacing w:line="480" w:lineRule="exact"/>
              <w:ind w:firstLineChars="100" w:firstLine="240"/>
              <w:rPr>
                <w:rFonts w:ascii="仿宋" w:eastAsia="仿宋" w:hAnsi="仿宋"/>
                <w:color w:val="FF0000"/>
                <w:sz w:val="28"/>
                <w:szCs w:val="28"/>
              </w:rPr>
            </w:pPr>
            <w:r>
              <w:rPr>
                <w:rFonts w:ascii="仿宋_GB2312" w:eastAsia="仿宋_GB2312" w:hAnsi="宋体" w:hint="eastAsia"/>
                <w:sz w:val="24"/>
              </w:rPr>
              <w:t>按四川建科工程建设管理有限公司出具的10KV高压进线电缆正式用电接入工程施工清单控制价为准</w:t>
            </w:r>
          </w:p>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C0264" w:rsidRDefault="005C0264" w:rsidP="003E534F">
            <w:pPr>
              <w:tabs>
                <w:tab w:val="left" w:pos="4256"/>
              </w:tabs>
              <w:spacing w:line="480" w:lineRule="exact"/>
              <w:jc w:val="center"/>
              <w:rPr>
                <w:rFonts w:ascii="宋体" w:hAnsi="宋体" w:cs="宋体"/>
                <w:sz w:val="24"/>
                <w:u w:val="single"/>
              </w:rPr>
            </w:pPr>
            <w:r>
              <w:rPr>
                <w:rFonts w:ascii="宋体" w:hAnsi="宋体" w:cs="宋体" w:hint="eastAsia"/>
                <w:sz w:val="24"/>
              </w:rPr>
              <w:t>1490597.14</w:t>
            </w:r>
          </w:p>
        </w:tc>
        <w:tc>
          <w:tcPr>
            <w:tcW w:w="705" w:type="dxa"/>
            <w:tcBorders>
              <w:top w:val="single" w:sz="4" w:space="0" w:color="auto"/>
              <w:left w:val="single" w:sz="4" w:space="0" w:color="auto"/>
              <w:bottom w:val="single" w:sz="4" w:space="0" w:color="auto"/>
              <w:right w:val="single" w:sz="4" w:space="0" w:color="auto"/>
            </w:tcBorders>
            <w:vAlign w:val="center"/>
          </w:tcPr>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p w:rsidR="005C0264" w:rsidRDefault="005C0264" w:rsidP="003E534F">
            <w:pPr>
              <w:tabs>
                <w:tab w:val="left" w:pos="4256"/>
              </w:tabs>
              <w:spacing w:line="480" w:lineRule="exact"/>
              <w:jc w:val="center"/>
              <w:rPr>
                <w:rFonts w:ascii="仿宋_GB2312" w:eastAsia="仿宋_GB2312" w:hAnsi="宋体"/>
                <w:sz w:val="24"/>
              </w:rPr>
            </w:pPr>
          </w:p>
        </w:tc>
      </w:tr>
    </w:tbl>
    <w:p w:rsidR="005C0264" w:rsidRDefault="005C0264" w:rsidP="003E534F">
      <w:pPr>
        <w:spacing w:line="480" w:lineRule="exact"/>
        <w:ind w:firstLineChars="179" w:firstLine="430"/>
        <w:rPr>
          <w:rFonts w:ascii="仿宋_GB2312" w:eastAsia="仿宋_GB2312" w:hAnsi="宋体"/>
          <w:b/>
          <w:sz w:val="24"/>
        </w:rPr>
      </w:pPr>
      <w:r>
        <w:rPr>
          <w:rFonts w:ascii="仿宋_GB2312" w:eastAsia="仿宋_GB2312" w:hAnsi="宋体" w:hint="eastAsia"/>
          <w:b/>
          <w:sz w:val="24"/>
        </w:rPr>
        <w:t>3．参选人资格要求</w:t>
      </w:r>
      <w:bookmarkEnd w:id="2"/>
    </w:p>
    <w:p w:rsidR="005C0264" w:rsidRDefault="005C0264" w:rsidP="003E534F">
      <w:pPr>
        <w:spacing w:line="480" w:lineRule="exact"/>
        <w:ind w:firstLineChars="225" w:firstLine="540"/>
        <w:rPr>
          <w:rFonts w:ascii="仿宋_GB2312" w:eastAsia="仿宋_GB2312" w:hAnsi="宋体" w:cs="宋体"/>
          <w:kern w:val="0"/>
          <w:sz w:val="24"/>
        </w:rPr>
      </w:pPr>
      <w:r>
        <w:rPr>
          <w:rFonts w:ascii="仿宋_GB2312" w:eastAsia="仿宋_GB2312" w:hAnsi="宋体" w:cs="宋体" w:hint="eastAsia"/>
          <w:kern w:val="0"/>
          <w:sz w:val="24"/>
        </w:rPr>
        <w:t xml:space="preserve">3.1 </w:t>
      </w:r>
      <w:r>
        <w:rPr>
          <w:rFonts w:ascii="仿宋_GB2312" w:eastAsia="仿宋_GB2312" w:hAnsi="宋体" w:cs="宋体" w:hint="eastAsia"/>
          <w:kern w:val="0"/>
          <w:sz w:val="24"/>
          <w:u w:val="single"/>
        </w:rPr>
        <w:t>参选人应具有独立法人资格，具备建设行政主管部门颁发的电力工程施工总承包三级及以上或送变电工程专业承包三级及以上资质；同时</w:t>
      </w:r>
      <w:r>
        <w:rPr>
          <w:rFonts w:ascii="仿宋_GB2312" w:eastAsia="仿宋_GB2312" w:hAnsi="Verdana" w:cs="宋体" w:hint="eastAsia"/>
          <w:kern w:val="0"/>
          <w:sz w:val="24"/>
          <w:u w:val="single"/>
          <w:lang w:val="zh-CN"/>
        </w:rPr>
        <w:t>还应具有《承装（修、试）电力设施许可证》，许可类别和等级：承装四级及以上，承修四级及以上。</w:t>
      </w:r>
    </w:p>
    <w:p w:rsidR="005C0264" w:rsidRDefault="005C0264" w:rsidP="003E534F">
      <w:pPr>
        <w:spacing w:line="480" w:lineRule="exact"/>
        <w:ind w:firstLineChars="179" w:firstLine="430"/>
        <w:rPr>
          <w:rFonts w:ascii="仿宋_GB2312" w:eastAsia="仿宋_GB2312" w:hAnsi="宋体" w:cs="宋体"/>
          <w:kern w:val="0"/>
          <w:sz w:val="24"/>
        </w:rPr>
      </w:pPr>
      <w:r>
        <w:rPr>
          <w:rFonts w:ascii="仿宋_GB2312" w:eastAsia="仿宋_GB2312" w:hAnsi="宋体" w:cs="宋体" w:hint="eastAsia"/>
          <w:kern w:val="0"/>
          <w:sz w:val="24"/>
        </w:rPr>
        <w:lastRenderedPageBreak/>
        <w:t>3.2</w:t>
      </w:r>
      <w:r>
        <w:rPr>
          <w:rFonts w:ascii="仿宋_GB2312" w:eastAsia="仿宋_GB2312" w:hAnsi="宋体" w:cs="宋体" w:hint="eastAsia"/>
          <w:kern w:val="0"/>
          <w:sz w:val="24"/>
          <w:u w:val="single"/>
        </w:rPr>
        <w:t>有规范、健全的服务质量控制和内部管理制度，有良好的社会信誉，最近3年没有违反职业道德和执业纪律等不良记录，未被法院列入失信人名单内</w:t>
      </w:r>
      <w:r w:rsidR="00C16E7C">
        <w:rPr>
          <w:rFonts w:ascii="仿宋_GB2312" w:eastAsia="仿宋_GB2312" w:hAnsi="宋体" w:cs="宋体" w:hint="eastAsia"/>
          <w:kern w:val="0"/>
          <w:sz w:val="24"/>
          <w:u w:val="single"/>
        </w:rPr>
        <w:t>。</w:t>
      </w:r>
    </w:p>
    <w:p w:rsidR="005C0264" w:rsidRDefault="005C0264" w:rsidP="003E534F">
      <w:pPr>
        <w:spacing w:line="480" w:lineRule="exact"/>
        <w:ind w:firstLineChars="179" w:firstLine="430"/>
        <w:rPr>
          <w:rFonts w:ascii="仿宋_GB2312" w:eastAsia="仿宋_GB2312" w:hAnsi="宋体" w:cs="宋体"/>
          <w:kern w:val="0"/>
          <w:sz w:val="24"/>
        </w:rPr>
      </w:pPr>
      <w:r>
        <w:rPr>
          <w:rFonts w:ascii="仿宋_GB2312" w:eastAsia="仿宋_GB2312" w:hAnsi="宋体" w:cs="宋体" w:hint="eastAsia"/>
          <w:kern w:val="0"/>
          <w:sz w:val="24"/>
        </w:rPr>
        <w:t xml:space="preserve">3.3 </w:t>
      </w:r>
      <w:r>
        <w:rPr>
          <w:rFonts w:ascii="仿宋_GB2312" w:eastAsia="仿宋_GB2312" w:hAnsi="宋体" w:cs="宋体" w:hint="eastAsia"/>
          <w:kern w:val="0"/>
          <w:sz w:val="24"/>
          <w:u w:val="single"/>
        </w:rPr>
        <w:t>2014年以来完成过至少3个送电线路电压，且每个项目不低于10kv 的送电工程施工。</w:t>
      </w:r>
    </w:p>
    <w:p w:rsidR="005C0264" w:rsidRDefault="005C0264" w:rsidP="003E534F">
      <w:pPr>
        <w:spacing w:line="480" w:lineRule="exact"/>
        <w:ind w:firstLineChars="150" w:firstLine="360"/>
        <w:rPr>
          <w:rFonts w:ascii="仿宋_GB2312" w:eastAsia="仿宋_GB2312" w:hAnsi="宋体" w:cs="宋体"/>
          <w:kern w:val="0"/>
          <w:sz w:val="24"/>
        </w:rPr>
      </w:pPr>
      <w:r>
        <w:rPr>
          <w:rFonts w:ascii="仿宋_GB2312" w:eastAsia="仿宋_GB2312" w:hAnsi="宋体" w:cs="宋体" w:hint="eastAsia"/>
          <w:kern w:val="0"/>
          <w:sz w:val="24"/>
        </w:rPr>
        <w:t xml:space="preserve">3.4 </w:t>
      </w:r>
      <w:r>
        <w:rPr>
          <w:rFonts w:ascii="仿宋_GB2312" w:eastAsia="仿宋_GB2312" w:hAnsi="宋体" w:cs="宋体" w:hint="eastAsia"/>
          <w:kern w:val="0"/>
          <w:sz w:val="24"/>
          <w:u w:val="single"/>
        </w:rPr>
        <w:t>本次比选不接受联合体参选。</w:t>
      </w:r>
    </w:p>
    <w:p w:rsidR="005C0264" w:rsidRDefault="005C0264" w:rsidP="003E534F">
      <w:pPr>
        <w:spacing w:line="480" w:lineRule="exact"/>
        <w:ind w:firstLineChars="179" w:firstLine="430"/>
        <w:rPr>
          <w:rFonts w:ascii="仿宋_GB2312" w:eastAsia="仿宋_GB2312" w:hAnsi="宋体"/>
          <w:sz w:val="24"/>
        </w:rPr>
      </w:pPr>
      <w:bookmarkStart w:id="3" w:name="_Toc185047240"/>
      <w:r>
        <w:rPr>
          <w:rFonts w:ascii="仿宋_GB2312" w:eastAsia="仿宋_GB2312" w:hAnsi="宋体" w:hint="eastAsia"/>
          <w:sz w:val="24"/>
        </w:rPr>
        <w:t>4．</w:t>
      </w:r>
      <w:r>
        <w:rPr>
          <w:rFonts w:ascii="仿宋_GB2312" w:eastAsia="仿宋_GB2312" w:hAnsi="宋体" w:hint="eastAsia"/>
          <w:b/>
          <w:sz w:val="24"/>
        </w:rPr>
        <w:t>比选文件的获取</w:t>
      </w:r>
      <w:bookmarkEnd w:id="3"/>
    </w:p>
    <w:p w:rsidR="005C0264" w:rsidRDefault="005C0264" w:rsidP="003E534F">
      <w:pPr>
        <w:widowControl/>
        <w:tabs>
          <w:tab w:val="left" w:pos="1360"/>
          <w:tab w:val="left" w:pos="5424"/>
          <w:tab w:val="left" w:pos="6675"/>
          <w:tab w:val="left" w:pos="7937"/>
        </w:tabs>
        <w:adjustRightInd w:val="0"/>
        <w:spacing w:line="480" w:lineRule="exact"/>
        <w:ind w:left="1" w:rightChars="44" w:right="92" w:firstLineChars="179" w:firstLine="430"/>
        <w:jc w:val="left"/>
        <w:rPr>
          <w:rFonts w:ascii="仿宋_GB2312" w:eastAsia="仿宋_GB2312" w:hAnsi="宋体" w:cs="宋体"/>
          <w:kern w:val="0"/>
          <w:sz w:val="24"/>
        </w:rPr>
      </w:pPr>
      <w:r>
        <w:rPr>
          <w:rFonts w:ascii="仿宋_GB2312" w:eastAsia="仿宋_GB2312" w:hAnsi="宋体" w:hint="eastAsia"/>
          <w:sz w:val="24"/>
        </w:rPr>
        <w:t>4.</w:t>
      </w:r>
      <w:r>
        <w:rPr>
          <w:rFonts w:ascii="仿宋_GB2312" w:eastAsia="仿宋_GB2312" w:hAnsi="宋体" w:cs="宋体" w:hint="eastAsia"/>
          <w:kern w:val="0"/>
          <w:sz w:val="24"/>
        </w:rPr>
        <w:t xml:space="preserve"> 参选人请于</w:t>
      </w:r>
      <w:r>
        <w:rPr>
          <w:rFonts w:ascii="仿宋_GB2312" w:eastAsia="仿宋_GB2312" w:hAnsi="宋体" w:cs="宋体" w:hint="eastAsia"/>
          <w:kern w:val="0"/>
          <w:sz w:val="24"/>
          <w:u w:val="single"/>
        </w:rPr>
        <w:t>2018</w:t>
      </w:r>
      <w:r>
        <w:rPr>
          <w:rFonts w:ascii="仿宋_GB2312" w:eastAsia="仿宋_GB2312" w:hAnsi="宋体" w:cs="宋体" w:hint="eastAsia"/>
          <w:kern w:val="0"/>
          <w:sz w:val="24"/>
        </w:rPr>
        <w:t>年</w:t>
      </w:r>
      <w:r>
        <w:rPr>
          <w:rFonts w:ascii="仿宋_GB2312" w:eastAsia="仿宋_GB2312" w:hAnsi="宋体" w:cs="宋体" w:hint="eastAsia"/>
          <w:kern w:val="0"/>
          <w:sz w:val="24"/>
          <w:u w:val="single"/>
        </w:rPr>
        <w:t xml:space="preserve"> </w:t>
      </w:r>
      <w:r w:rsidR="003E534F">
        <w:rPr>
          <w:rFonts w:ascii="仿宋_GB2312" w:eastAsia="仿宋_GB2312" w:hAnsi="宋体" w:cs="宋体" w:hint="eastAsia"/>
          <w:kern w:val="0"/>
          <w:sz w:val="24"/>
          <w:u w:val="single"/>
        </w:rPr>
        <w:t>2</w:t>
      </w:r>
      <w:r>
        <w:rPr>
          <w:rFonts w:ascii="仿宋_GB2312" w:eastAsia="仿宋_GB2312" w:hAnsi="宋体" w:cs="宋体" w:hint="eastAsia"/>
          <w:kern w:val="0"/>
          <w:sz w:val="24"/>
          <w:u w:val="single"/>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u w:val="single"/>
        </w:rPr>
        <w:t xml:space="preserve"> </w:t>
      </w:r>
      <w:r w:rsidR="003B3B18">
        <w:rPr>
          <w:rFonts w:ascii="仿宋_GB2312" w:eastAsia="仿宋_GB2312" w:hAnsi="宋体" w:cs="宋体" w:hint="eastAsia"/>
          <w:kern w:val="0"/>
          <w:sz w:val="24"/>
          <w:u w:val="single"/>
        </w:rPr>
        <w:t>10</w:t>
      </w:r>
      <w:r>
        <w:rPr>
          <w:rFonts w:ascii="仿宋_GB2312" w:eastAsia="仿宋_GB2312" w:hAnsi="宋体" w:cs="宋体" w:hint="eastAsia"/>
          <w:kern w:val="0"/>
          <w:sz w:val="24"/>
          <w:u w:val="single"/>
        </w:rPr>
        <w:t xml:space="preserve">  </w:t>
      </w:r>
      <w:r>
        <w:rPr>
          <w:rFonts w:ascii="仿宋_GB2312" w:eastAsia="仿宋_GB2312" w:hAnsi="宋体" w:cs="宋体" w:hint="eastAsia"/>
          <w:kern w:val="0"/>
          <w:sz w:val="24"/>
        </w:rPr>
        <w:t>日至</w:t>
      </w:r>
      <w:r>
        <w:rPr>
          <w:rFonts w:ascii="仿宋_GB2312" w:eastAsia="仿宋_GB2312" w:hAnsi="宋体" w:cs="宋体" w:hint="eastAsia"/>
          <w:kern w:val="0"/>
          <w:sz w:val="24"/>
          <w:u w:val="single"/>
        </w:rPr>
        <w:t>2018</w:t>
      </w:r>
      <w:r>
        <w:rPr>
          <w:rFonts w:ascii="仿宋_GB2312" w:eastAsia="仿宋_GB2312" w:hAnsi="宋体" w:cs="宋体" w:hint="eastAsia"/>
          <w:kern w:val="0"/>
          <w:sz w:val="24"/>
        </w:rPr>
        <w:t>年</w:t>
      </w:r>
      <w:r>
        <w:rPr>
          <w:rFonts w:ascii="仿宋_GB2312" w:eastAsia="仿宋_GB2312" w:hAnsi="宋体" w:cs="宋体" w:hint="eastAsia"/>
          <w:kern w:val="0"/>
          <w:sz w:val="24"/>
          <w:u w:val="single"/>
        </w:rPr>
        <w:t xml:space="preserve"> </w:t>
      </w:r>
      <w:r w:rsidR="00F06B23">
        <w:rPr>
          <w:rFonts w:ascii="仿宋_GB2312" w:eastAsia="仿宋_GB2312" w:hAnsi="宋体" w:cs="宋体" w:hint="eastAsia"/>
          <w:kern w:val="0"/>
          <w:sz w:val="24"/>
          <w:u w:val="single"/>
        </w:rPr>
        <w:t xml:space="preserve">2 </w:t>
      </w:r>
      <w:r>
        <w:rPr>
          <w:rFonts w:ascii="仿宋_GB2312" w:eastAsia="仿宋_GB2312" w:hAnsi="宋体" w:cs="宋体" w:hint="eastAsia"/>
          <w:kern w:val="0"/>
          <w:sz w:val="24"/>
          <w:u w:val="single"/>
        </w:rPr>
        <w:t xml:space="preserve"> </w:t>
      </w:r>
      <w:r>
        <w:rPr>
          <w:rFonts w:ascii="仿宋_GB2312" w:eastAsia="仿宋_GB2312" w:hAnsi="宋体" w:cs="宋体" w:hint="eastAsia"/>
          <w:kern w:val="0"/>
          <w:sz w:val="24"/>
        </w:rPr>
        <w:t>月</w:t>
      </w:r>
      <w:r w:rsidR="003B3B18" w:rsidRPr="003B3B18">
        <w:rPr>
          <w:rFonts w:ascii="仿宋_GB2312" w:eastAsia="仿宋_GB2312" w:hAnsi="宋体" w:cs="宋体" w:hint="eastAsia"/>
          <w:kern w:val="0"/>
          <w:sz w:val="24"/>
          <w:u w:val="single"/>
        </w:rPr>
        <w:t>1</w:t>
      </w:r>
      <w:r w:rsidR="003B3B18">
        <w:rPr>
          <w:rFonts w:ascii="仿宋_GB2312" w:eastAsia="仿宋_GB2312" w:hAnsi="宋体" w:cs="宋体" w:hint="eastAsia"/>
          <w:kern w:val="0"/>
          <w:sz w:val="24"/>
          <w:u w:val="single"/>
        </w:rPr>
        <w:t>3</w:t>
      </w:r>
      <w:r w:rsidRPr="003B3B18">
        <w:rPr>
          <w:rFonts w:ascii="仿宋_GB2312" w:eastAsia="仿宋_GB2312" w:hAnsi="宋体" w:cs="宋体" w:hint="eastAsia"/>
          <w:kern w:val="0"/>
          <w:sz w:val="24"/>
          <w:u w:val="single"/>
        </w:rPr>
        <w:t xml:space="preserve">   </w:t>
      </w:r>
      <w:r>
        <w:rPr>
          <w:rFonts w:ascii="仿宋_GB2312" w:eastAsia="仿宋_GB2312" w:hAnsi="宋体" w:cs="宋体" w:hint="eastAsia"/>
          <w:kern w:val="0"/>
          <w:sz w:val="24"/>
        </w:rPr>
        <w:t>日（法定公休日、法定节假日除外），每日上午</w:t>
      </w:r>
      <w:r>
        <w:rPr>
          <w:rFonts w:ascii="仿宋_GB2312" w:eastAsia="仿宋_GB2312" w:hAnsi="宋体" w:cs="宋体" w:hint="eastAsia"/>
          <w:kern w:val="0"/>
          <w:sz w:val="24"/>
          <w:u w:val="single"/>
        </w:rPr>
        <w:t xml:space="preserve">9:30 </w:t>
      </w:r>
      <w:r>
        <w:rPr>
          <w:rFonts w:ascii="仿宋_GB2312" w:eastAsia="仿宋_GB2312" w:hAnsi="宋体" w:cs="宋体" w:hint="eastAsia"/>
          <w:kern w:val="0"/>
          <w:sz w:val="24"/>
        </w:rPr>
        <w:t>时至</w:t>
      </w:r>
      <w:r>
        <w:rPr>
          <w:rFonts w:ascii="仿宋_GB2312" w:eastAsia="仿宋_GB2312" w:hAnsi="宋体" w:cs="宋体" w:hint="eastAsia"/>
          <w:kern w:val="0"/>
          <w:sz w:val="24"/>
          <w:u w:val="single"/>
        </w:rPr>
        <w:t xml:space="preserve">12:00 </w:t>
      </w:r>
      <w:r>
        <w:rPr>
          <w:rFonts w:ascii="仿宋_GB2312" w:eastAsia="仿宋_GB2312" w:hAnsi="宋体" w:cs="宋体" w:hint="eastAsia"/>
          <w:kern w:val="0"/>
          <w:sz w:val="24"/>
        </w:rPr>
        <w:t>时，下午</w:t>
      </w:r>
      <w:r>
        <w:rPr>
          <w:rFonts w:ascii="仿宋_GB2312" w:eastAsia="仿宋_GB2312" w:hAnsi="宋体" w:cs="宋体" w:hint="eastAsia"/>
          <w:kern w:val="0"/>
          <w:sz w:val="24"/>
          <w:u w:val="single"/>
        </w:rPr>
        <w:t xml:space="preserve">13:00 </w:t>
      </w:r>
      <w:r>
        <w:rPr>
          <w:rFonts w:ascii="仿宋_GB2312" w:eastAsia="仿宋_GB2312" w:hAnsi="宋体" w:cs="宋体" w:hint="eastAsia"/>
          <w:kern w:val="0"/>
          <w:sz w:val="24"/>
        </w:rPr>
        <w:t>时至</w:t>
      </w:r>
      <w:r>
        <w:rPr>
          <w:rFonts w:ascii="仿宋_GB2312" w:eastAsia="仿宋_GB2312" w:hAnsi="宋体" w:cs="宋体" w:hint="eastAsia"/>
          <w:kern w:val="0"/>
          <w:sz w:val="24"/>
          <w:u w:val="single"/>
        </w:rPr>
        <w:t xml:space="preserve">17:00 </w:t>
      </w:r>
      <w:r>
        <w:rPr>
          <w:rFonts w:ascii="仿宋_GB2312" w:eastAsia="仿宋_GB2312" w:hAnsi="宋体" w:cs="宋体" w:hint="eastAsia"/>
          <w:kern w:val="0"/>
          <w:sz w:val="24"/>
        </w:rPr>
        <w:t>时（北京时间），持下列证件在</w:t>
      </w:r>
      <w:r>
        <w:rPr>
          <w:rFonts w:ascii="仿宋_GB2312" w:eastAsia="仿宋_GB2312" w:hAnsi="宋体" w:hint="eastAsia"/>
          <w:sz w:val="24"/>
          <w:u w:val="single"/>
        </w:rPr>
        <w:t>四川国际网球中心川网国际花园项目中心</w:t>
      </w:r>
      <w:r>
        <w:rPr>
          <w:rFonts w:ascii="仿宋_GB2312" w:eastAsia="仿宋_GB2312" w:hAnsi="宋体" w:cs="宋体" w:hint="eastAsia"/>
          <w:kern w:val="0"/>
          <w:sz w:val="24"/>
        </w:rPr>
        <w:t>领取比选文件。</w:t>
      </w:r>
    </w:p>
    <w:p w:rsidR="005C0264" w:rsidRDefault="005C0264" w:rsidP="003E534F">
      <w:pPr>
        <w:spacing w:line="480" w:lineRule="exact"/>
        <w:ind w:firstLineChars="179" w:firstLine="430"/>
        <w:rPr>
          <w:rFonts w:ascii="仿宋_GB2312" w:eastAsia="仿宋_GB2312" w:hAnsi="宋体" w:cs="宋体"/>
          <w:kern w:val="0"/>
          <w:sz w:val="24"/>
        </w:rPr>
      </w:pPr>
      <w:r>
        <w:rPr>
          <w:rFonts w:ascii="仿宋_GB2312" w:eastAsia="仿宋_GB2312" w:hAnsi="宋体" w:cs="宋体" w:hint="eastAsia"/>
          <w:kern w:val="0"/>
          <w:sz w:val="24"/>
        </w:rPr>
        <w:t>(1)单位介绍信；</w:t>
      </w:r>
    </w:p>
    <w:p w:rsidR="005C0264" w:rsidRDefault="005C0264" w:rsidP="003E534F">
      <w:pPr>
        <w:spacing w:line="480" w:lineRule="exact"/>
        <w:ind w:firstLineChars="179" w:firstLine="430"/>
        <w:rPr>
          <w:rFonts w:ascii="仿宋_GB2312" w:eastAsia="仿宋_GB2312" w:hAnsi="宋体" w:cs="宋体"/>
          <w:kern w:val="0"/>
          <w:sz w:val="24"/>
        </w:rPr>
      </w:pPr>
      <w:r>
        <w:rPr>
          <w:rFonts w:ascii="仿宋_GB2312" w:eastAsia="仿宋_GB2312" w:hAnsi="宋体" w:cs="宋体" w:hint="eastAsia"/>
          <w:kern w:val="0"/>
          <w:sz w:val="24"/>
        </w:rPr>
        <w:t>(2)授权委托书及被授权人身份证复印件；</w:t>
      </w:r>
    </w:p>
    <w:p w:rsidR="005C0264" w:rsidRDefault="005C0264" w:rsidP="003E534F">
      <w:pPr>
        <w:spacing w:line="480" w:lineRule="exact"/>
        <w:ind w:firstLineChars="179" w:firstLine="430"/>
        <w:rPr>
          <w:rFonts w:ascii="仿宋_GB2312" w:eastAsia="仿宋_GB2312" w:hAnsi="宋体"/>
          <w:sz w:val="24"/>
        </w:rPr>
      </w:pPr>
      <w:r>
        <w:rPr>
          <w:rFonts w:ascii="仿宋_GB2312" w:eastAsia="仿宋_GB2312" w:hAnsi="宋体" w:cs="宋体" w:hint="eastAsia"/>
          <w:kern w:val="0"/>
          <w:sz w:val="24"/>
        </w:rPr>
        <w:t>(3)上年度通过有关部门年检的营业执照、组织机构代码证、税务登记证书原件(供核验)及复印件（</w:t>
      </w:r>
      <w:r>
        <w:rPr>
          <w:rFonts w:ascii="仿宋_GB2312" w:eastAsia="仿宋_GB2312" w:hAnsi="宋体" w:hint="eastAsia"/>
          <w:sz w:val="24"/>
        </w:rPr>
        <w:t>备注：以上证件复印件均需加盖参选人公章。）三证合一的只需提供营业执照。</w:t>
      </w:r>
    </w:p>
    <w:p w:rsidR="005C0264" w:rsidRDefault="005C0264" w:rsidP="003E534F">
      <w:pPr>
        <w:spacing w:line="480" w:lineRule="exact"/>
        <w:ind w:firstLineChars="179" w:firstLine="430"/>
        <w:rPr>
          <w:rFonts w:ascii="仿宋_GB2312" w:eastAsia="仿宋_GB2312" w:hAnsi="宋体"/>
          <w:sz w:val="24"/>
        </w:rPr>
      </w:pPr>
      <w:bookmarkStart w:id="4" w:name="_Toc185047241"/>
      <w:r>
        <w:rPr>
          <w:rFonts w:ascii="仿宋_GB2312" w:eastAsia="仿宋_GB2312" w:hAnsi="宋体" w:hint="eastAsia"/>
          <w:sz w:val="24"/>
        </w:rPr>
        <w:t>5．</w:t>
      </w:r>
      <w:r>
        <w:rPr>
          <w:rFonts w:ascii="仿宋_GB2312" w:eastAsia="仿宋_GB2312" w:hAnsi="宋体" w:hint="eastAsia"/>
          <w:b/>
          <w:sz w:val="24"/>
        </w:rPr>
        <w:t>参选文件的递交</w:t>
      </w:r>
      <w:bookmarkEnd w:id="4"/>
    </w:p>
    <w:p w:rsidR="005C0264" w:rsidRDefault="005C0264" w:rsidP="003E534F">
      <w:pPr>
        <w:overflowPunct w:val="0"/>
        <w:adjustRightInd w:val="0"/>
        <w:spacing w:line="480" w:lineRule="exact"/>
        <w:ind w:left="60" w:right="60" w:firstLineChars="179" w:firstLine="430"/>
        <w:rPr>
          <w:rFonts w:ascii="仿宋_GB2312" w:eastAsia="仿宋_GB2312" w:hAnsi="宋体"/>
          <w:sz w:val="24"/>
        </w:rPr>
      </w:pPr>
      <w:r>
        <w:rPr>
          <w:rFonts w:ascii="仿宋_GB2312" w:eastAsia="仿宋_GB2312" w:hAnsi="宋体" w:hint="eastAsia"/>
          <w:sz w:val="24"/>
        </w:rPr>
        <w:t>5.1 参选文件递交的截止时间（参选截止时间，下同）为</w:t>
      </w:r>
      <w:r>
        <w:rPr>
          <w:rFonts w:ascii="仿宋_GB2312" w:eastAsia="仿宋_GB2312" w:hAnsi="宋体" w:hint="eastAsia"/>
          <w:sz w:val="24"/>
          <w:u w:val="single"/>
        </w:rPr>
        <w:t xml:space="preserve">2018 </w:t>
      </w:r>
      <w:r>
        <w:rPr>
          <w:rFonts w:ascii="仿宋_GB2312" w:eastAsia="仿宋_GB2312" w:hAnsi="宋体" w:hint="eastAsia"/>
          <w:sz w:val="24"/>
        </w:rPr>
        <w:t>年</w:t>
      </w:r>
      <w:r>
        <w:rPr>
          <w:rFonts w:ascii="仿宋_GB2312" w:eastAsia="仿宋_GB2312" w:hAnsi="宋体" w:hint="eastAsia"/>
          <w:sz w:val="24"/>
          <w:u w:val="single"/>
        </w:rPr>
        <w:t xml:space="preserve"> </w:t>
      </w:r>
      <w:r w:rsidR="003E534F">
        <w:rPr>
          <w:rFonts w:ascii="仿宋_GB2312" w:eastAsia="仿宋_GB2312" w:hAnsi="宋体" w:hint="eastAsia"/>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月</w:t>
      </w:r>
      <w:r>
        <w:rPr>
          <w:rFonts w:ascii="仿宋_GB2312" w:eastAsia="仿宋_GB2312" w:hAnsi="宋体" w:hint="eastAsia"/>
          <w:sz w:val="24"/>
          <w:u w:val="single"/>
        </w:rPr>
        <w:t xml:space="preserve">   </w:t>
      </w:r>
      <w:r w:rsidR="003B3B18">
        <w:rPr>
          <w:rFonts w:ascii="仿宋_GB2312" w:eastAsia="仿宋_GB2312" w:hAnsi="宋体" w:hint="eastAsia"/>
          <w:sz w:val="24"/>
          <w:u w:val="single"/>
        </w:rPr>
        <w:t>2</w:t>
      </w:r>
      <w:r w:rsidR="00942CF1">
        <w:rPr>
          <w:rFonts w:ascii="仿宋_GB2312" w:eastAsia="仿宋_GB2312" w:hAnsi="宋体" w:hint="eastAsia"/>
          <w:sz w:val="24"/>
          <w:u w:val="single"/>
        </w:rPr>
        <w:t>8</w:t>
      </w:r>
      <w:r>
        <w:rPr>
          <w:rFonts w:ascii="仿宋_GB2312" w:eastAsia="仿宋_GB2312" w:hAnsi="宋体" w:hint="eastAsia"/>
          <w:sz w:val="24"/>
        </w:rPr>
        <w:t>日</w:t>
      </w:r>
      <w:r w:rsidR="003B3B18" w:rsidRPr="003B3B18">
        <w:rPr>
          <w:rFonts w:ascii="仿宋_GB2312" w:eastAsia="仿宋_GB2312" w:hAnsi="宋体" w:hint="eastAsia"/>
          <w:sz w:val="24"/>
          <w:u w:val="single"/>
        </w:rPr>
        <w:t>10</w:t>
      </w:r>
      <w:r>
        <w:rPr>
          <w:rFonts w:ascii="仿宋_GB2312" w:eastAsia="仿宋_GB2312" w:hAnsi="宋体" w:hint="eastAsia"/>
          <w:sz w:val="24"/>
          <w:u w:val="single"/>
        </w:rPr>
        <w:t xml:space="preserve"> </w:t>
      </w:r>
      <w:r>
        <w:rPr>
          <w:rFonts w:ascii="仿宋_GB2312" w:eastAsia="仿宋_GB2312" w:hAnsi="宋体" w:hint="eastAsia"/>
          <w:sz w:val="24"/>
        </w:rPr>
        <w:t>时</w:t>
      </w:r>
      <w:r>
        <w:rPr>
          <w:rFonts w:ascii="仿宋_GB2312" w:eastAsia="仿宋_GB2312" w:hAnsi="宋体" w:hint="eastAsia"/>
          <w:sz w:val="24"/>
          <w:u w:val="single"/>
        </w:rPr>
        <w:t xml:space="preserve"> </w:t>
      </w:r>
      <w:r w:rsidR="003B3B18">
        <w:rPr>
          <w:rFonts w:ascii="仿宋_GB2312" w:eastAsia="仿宋_GB2312" w:hAnsi="宋体" w:hint="eastAsia"/>
          <w:sz w:val="24"/>
          <w:u w:val="single"/>
        </w:rPr>
        <w:t>00</w:t>
      </w:r>
      <w:r>
        <w:rPr>
          <w:rFonts w:ascii="仿宋_GB2312" w:eastAsia="仿宋_GB2312" w:hAnsi="宋体" w:hint="eastAsia"/>
          <w:sz w:val="24"/>
          <w:u w:val="single"/>
        </w:rPr>
        <w:t xml:space="preserve">  </w:t>
      </w:r>
      <w:r>
        <w:rPr>
          <w:rFonts w:ascii="仿宋_GB2312" w:eastAsia="仿宋_GB2312" w:hAnsi="宋体" w:hint="eastAsia"/>
          <w:sz w:val="24"/>
        </w:rPr>
        <w:t>分，地点为</w:t>
      </w:r>
      <w:r>
        <w:rPr>
          <w:rFonts w:ascii="仿宋_GB2312" w:eastAsia="仿宋_GB2312" w:hAnsi="宋体" w:hint="eastAsia"/>
          <w:sz w:val="24"/>
          <w:u w:val="single"/>
        </w:rPr>
        <w:t>成都市双流区东升街道金河路66号四川川投国际网球中心开发有限责任公司</w:t>
      </w:r>
      <w:r>
        <w:rPr>
          <w:rFonts w:ascii="仿宋_GB2312" w:eastAsia="仿宋_GB2312" w:hAnsi="宋体" w:hint="eastAsia"/>
          <w:sz w:val="24"/>
        </w:rPr>
        <w:t>。</w:t>
      </w:r>
    </w:p>
    <w:p w:rsidR="005C0264" w:rsidRDefault="005C0264" w:rsidP="003E534F">
      <w:pPr>
        <w:spacing w:line="480" w:lineRule="exact"/>
        <w:ind w:firstLineChars="179" w:firstLine="430"/>
        <w:rPr>
          <w:rFonts w:ascii="仿宋_GB2312" w:eastAsia="仿宋_GB2312" w:hAnsi="宋体"/>
          <w:sz w:val="24"/>
        </w:rPr>
      </w:pPr>
      <w:r>
        <w:rPr>
          <w:rFonts w:ascii="仿宋_GB2312" w:eastAsia="仿宋_GB2312" w:hAnsi="宋体" w:hint="eastAsia"/>
          <w:sz w:val="24"/>
        </w:rPr>
        <w:t>5.2 逾期送达的或者未送达指定地点的参选文件，比选人不予受理。</w:t>
      </w:r>
    </w:p>
    <w:p w:rsidR="005C0264" w:rsidRDefault="005C0264" w:rsidP="003E534F">
      <w:pPr>
        <w:spacing w:line="480" w:lineRule="exact"/>
        <w:ind w:firstLineChars="179" w:firstLine="430"/>
        <w:rPr>
          <w:rFonts w:ascii="仿宋_GB2312" w:eastAsia="仿宋_GB2312" w:hAnsi="宋体"/>
          <w:b/>
          <w:sz w:val="24"/>
        </w:rPr>
      </w:pPr>
      <w:r>
        <w:rPr>
          <w:rFonts w:ascii="仿宋_GB2312" w:eastAsia="仿宋_GB2312" w:hAnsi="宋体" w:hint="eastAsia"/>
          <w:b/>
          <w:sz w:val="24"/>
        </w:rPr>
        <w:t>6．比选公告发布</w:t>
      </w:r>
    </w:p>
    <w:p w:rsidR="005C0264" w:rsidRDefault="005C0264" w:rsidP="003E534F">
      <w:pPr>
        <w:spacing w:line="480" w:lineRule="exact"/>
        <w:ind w:firstLineChars="179" w:firstLine="430"/>
        <w:rPr>
          <w:rFonts w:ascii="仿宋_GB2312" w:eastAsia="仿宋_GB2312" w:hAnsi="宋体"/>
          <w:sz w:val="24"/>
        </w:rPr>
      </w:pPr>
      <w:r>
        <w:rPr>
          <w:rFonts w:ascii="仿宋_GB2312" w:eastAsia="仿宋_GB2312" w:hAnsi="宋体" w:hint="eastAsia"/>
          <w:sz w:val="24"/>
        </w:rPr>
        <w:t>本比选公告在</w:t>
      </w:r>
      <w:r>
        <w:rPr>
          <w:rFonts w:ascii="仿宋_GB2312" w:eastAsia="仿宋_GB2312" w:hAnsi="宋体" w:hint="eastAsia"/>
          <w:sz w:val="24"/>
          <w:u w:val="single"/>
        </w:rPr>
        <w:t>川投集团公司外网（http://www.invest.com.cn/）</w:t>
      </w:r>
      <w:r>
        <w:rPr>
          <w:rFonts w:ascii="仿宋_GB2312" w:eastAsia="仿宋_GB2312" w:hAnsi="宋体" w:hint="eastAsia"/>
          <w:sz w:val="24"/>
        </w:rPr>
        <w:t>上发布。</w:t>
      </w:r>
    </w:p>
    <w:p w:rsidR="005C0264" w:rsidRDefault="005C0264" w:rsidP="003E534F">
      <w:pPr>
        <w:spacing w:line="480" w:lineRule="exact"/>
        <w:ind w:firstLineChars="179" w:firstLine="430"/>
        <w:rPr>
          <w:rFonts w:ascii="仿宋_GB2312" w:eastAsia="仿宋_GB2312" w:hAnsi="宋体"/>
          <w:sz w:val="24"/>
        </w:rPr>
      </w:pPr>
      <w:bookmarkStart w:id="5" w:name="_Toc185047243"/>
      <w:r>
        <w:rPr>
          <w:rFonts w:ascii="仿宋_GB2312" w:eastAsia="仿宋_GB2312" w:hAnsi="宋体" w:hint="eastAsia"/>
          <w:sz w:val="24"/>
        </w:rPr>
        <w:t>7．</w:t>
      </w:r>
      <w:r>
        <w:rPr>
          <w:rFonts w:ascii="仿宋_GB2312" w:eastAsia="仿宋_GB2312" w:hAnsi="宋体" w:hint="eastAsia"/>
          <w:b/>
          <w:sz w:val="24"/>
        </w:rPr>
        <w:t>联系方式</w:t>
      </w:r>
      <w:bookmarkEnd w:id="5"/>
    </w:p>
    <w:p w:rsidR="005C0264" w:rsidRDefault="005C0264" w:rsidP="003E534F">
      <w:pPr>
        <w:spacing w:line="480" w:lineRule="exact"/>
        <w:ind w:leftChars="10" w:left="21" w:firstLineChars="291" w:firstLine="698"/>
        <w:rPr>
          <w:rFonts w:ascii="仿宋_GB2312" w:eastAsia="仿宋_GB2312" w:hAnsi="宋体"/>
          <w:sz w:val="24"/>
          <w:u w:val="single"/>
        </w:rPr>
      </w:pPr>
      <w:r>
        <w:rPr>
          <w:rFonts w:ascii="仿宋_GB2312" w:eastAsia="仿宋_GB2312" w:hAnsi="宋体" w:hint="eastAsia"/>
          <w:bCs/>
          <w:sz w:val="24"/>
        </w:rPr>
        <w:t>比选人：</w:t>
      </w:r>
      <w:r>
        <w:rPr>
          <w:rFonts w:ascii="仿宋_GB2312" w:eastAsia="仿宋_GB2312" w:hAnsi="宋体" w:hint="eastAsia"/>
          <w:sz w:val="24"/>
          <w:u w:val="single"/>
        </w:rPr>
        <w:t>四川川投国际网球中心开发有限责任公司</w:t>
      </w:r>
    </w:p>
    <w:p w:rsidR="005C0264" w:rsidRDefault="005C0264" w:rsidP="005C0264">
      <w:pPr>
        <w:spacing w:line="360" w:lineRule="auto"/>
        <w:ind w:leftChars="1" w:left="2" w:firstLineChars="291" w:firstLine="698"/>
        <w:rPr>
          <w:rFonts w:ascii="仿宋_GB2312" w:eastAsia="仿宋_GB2312" w:hAnsi="宋体"/>
          <w:sz w:val="24"/>
          <w:u w:val="single"/>
        </w:rPr>
      </w:pPr>
      <w:r>
        <w:rPr>
          <w:rFonts w:ascii="仿宋_GB2312" w:eastAsia="仿宋_GB2312" w:hAnsi="宋体" w:hint="eastAsia"/>
          <w:sz w:val="24"/>
        </w:rPr>
        <w:t>地址：</w:t>
      </w:r>
      <w:r>
        <w:rPr>
          <w:rFonts w:ascii="仿宋_GB2312" w:eastAsia="仿宋_GB2312" w:hAnsi="宋体" w:hint="eastAsia"/>
          <w:sz w:val="24"/>
          <w:u w:val="single"/>
        </w:rPr>
        <w:t>成都市双流县金河路66号</w:t>
      </w:r>
    </w:p>
    <w:p w:rsidR="005C0264" w:rsidRDefault="005C0264" w:rsidP="005C0264">
      <w:pPr>
        <w:spacing w:line="360" w:lineRule="auto"/>
        <w:ind w:leftChars="1" w:left="2" w:firstLineChars="291" w:firstLine="698"/>
        <w:rPr>
          <w:rFonts w:ascii="仿宋_GB2312" w:eastAsia="仿宋_GB2312" w:hAnsi="宋体"/>
          <w:sz w:val="24"/>
          <w:u w:val="single"/>
        </w:rPr>
      </w:pPr>
      <w:r>
        <w:rPr>
          <w:rFonts w:ascii="仿宋_GB2312" w:eastAsia="仿宋_GB2312" w:hAnsi="宋体" w:hint="eastAsia"/>
          <w:sz w:val="24"/>
        </w:rPr>
        <w:t>联系人：</w:t>
      </w:r>
      <w:r>
        <w:rPr>
          <w:rFonts w:ascii="仿宋_GB2312" w:eastAsia="仿宋_GB2312" w:hAnsi="宋体" w:hint="eastAsia"/>
          <w:sz w:val="24"/>
          <w:u w:val="single"/>
        </w:rPr>
        <w:t>穆女士</w:t>
      </w:r>
    </w:p>
    <w:p w:rsidR="005C0264" w:rsidRDefault="005C0264" w:rsidP="005C0264">
      <w:pPr>
        <w:spacing w:line="360" w:lineRule="auto"/>
        <w:ind w:firstLineChars="200" w:firstLine="480"/>
        <w:rPr>
          <w:bCs/>
          <w:szCs w:val="21"/>
        </w:rPr>
      </w:pPr>
      <w:r>
        <w:rPr>
          <w:rFonts w:ascii="仿宋_GB2312" w:eastAsia="仿宋_GB2312" w:hAnsi="宋体" w:hint="eastAsia"/>
          <w:sz w:val="24"/>
        </w:rPr>
        <w:t>电话：</w:t>
      </w:r>
      <w:r>
        <w:rPr>
          <w:szCs w:val="21"/>
          <w:u w:val="single"/>
        </w:rPr>
        <w:t>028-85893526</w:t>
      </w:r>
    </w:p>
    <w:p w:rsidR="00EA579D" w:rsidRPr="005C0264" w:rsidRDefault="00EA579D"/>
    <w:sectPr w:rsidR="00EA579D" w:rsidRPr="005C0264" w:rsidSect="00EA5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6C" w:rsidRDefault="00AE6C6C" w:rsidP="003B3B18">
      <w:r>
        <w:separator/>
      </w:r>
    </w:p>
  </w:endnote>
  <w:endnote w:type="continuationSeparator" w:id="0">
    <w:p w:rsidR="00AE6C6C" w:rsidRDefault="00AE6C6C" w:rsidP="003B3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6C" w:rsidRDefault="00AE6C6C" w:rsidP="003B3B18">
      <w:r>
        <w:separator/>
      </w:r>
    </w:p>
  </w:footnote>
  <w:footnote w:type="continuationSeparator" w:id="0">
    <w:p w:rsidR="00AE6C6C" w:rsidRDefault="00AE6C6C" w:rsidP="003B3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264"/>
    <w:rsid w:val="003B3B18"/>
    <w:rsid w:val="003E534F"/>
    <w:rsid w:val="004C4274"/>
    <w:rsid w:val="005C0264"/>
    <w:rsid w:val="007C2FCC"/>
    <w:rsid w:val="00942CF1"/>
    <w:rsid w:val="00AE6C6C"/>
    <w:rsid w:val="00AF64CF"/>
    <w:rsid w:val="00C16E7C"/>
    <w:rsid w:val="00EA579D"/>
    <w:rsid w:val="00F06B23"/>
    <w:rsid w:val="00F961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264"/>
    <w:pPr>
      <w:widowControl w:val="0"/>
      <w:jc w:val="both"/>
    </w:pPr>
    <w:rPr>
      <w:rFonts w:ascii="Times New Roman" w:eastAsia="宋体" w:hAnsi="Times New Roman" w:cs="Times New Roman"/>
      <w:szCs w:val="24"/>
    </w:rPr>
  </w:style>
  <w:style w:type="paragraph" w:styleId="1">
    <w:name w:val="heading 1"/>
    <w:basedOn w:val="a"/>
    <w:next w:val="a"/>
    <w:link w:val="1Char"/>
    <w:qFormat/>
    <w:rsid w:val="005C026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0264"/>
    <w:rPr>
      <w:rFonts w:ascii="Times New Roman" w:eastAsia="宋体" w:hAnsi="Times New Roman" w:cs="Times New Roman"/>
      <w:b/>
      <w:bCs/>
      <w:kern w:val="44"/>
      <w:sz w:val="44"/>
      <w:szCs w:val="44"/>
    </w:rPr>
  </w:style>
  <w:style w:type="paragraph" w:styleId="a3">
    <w:name w:val="List Paragraph"/>
    <w:basedOn w:val="a"/>
    <w:uiPriority w:val="34"/>
    <w:qFormat/>
    <w:rsid w:val="005C0264"/>
    <w:pPr>
      <w:ind w:firstLineChars="200" w:firstLine="420"/>
    </w:pPr>
    <w:rPr>
      <w:rFonts w:ascii="Calibri" w:hAnsi="Calibri"/>
      <w:szCs w:val="22"/>
    </w:rPr>
  </w:style>
  <w:style w:type="paragraph" w:styleId="a4">
    <w:name w:val="header"/>
    <w:basedOn w:val="a"/>
    <w:link w:val="Char"/>
    <w:uiPriority w:val="99"/>
    <w:semiHidden/>
    <w:unhideWhenUsed/>
    <w:rsid w:val="003B3B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B3B18"/>
    <w:rPr>
      <w:rFonts w:ascii="Times New Roman" w:eastAsia="宋体" w:hAnsi="Times New Roman" w:cs="Times New Roman"/>
      <w:sz w:val="18"/>
      <w:szCs w:val="18"/>
    </w:rPr>
  </w:style>
  <w:style w:type="paragraph" w:styleId="a5">
    <w:name w:val="footer"/>
    <w:basedOn w:val="a"/>
    <w:link w:val="Char0"/>
    <w:uiPriority w:val="99"/>
    <w:semiHidden/>
    <w:unhideWhenUsed/>
    <w:rsid w:val="003B3B1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B3B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8823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2018-02-08T02:35:00Z</dcterms:created>
  <dcterms:modified xsi:type="dcterms:W3CDTF">2018-02-09T05:54:00Z</dcterms:modified>
</cp:coreProperties>
</file>